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A84" w:rsidRPr="000D1B89" w:rsidRDefault="006C2A84">
      <w:pPr>
        <w:rPr>
          <w:rFonts w:asciiTheme="minorHAnsi" w:hAnsiTheme="minorHAnsi" w:cstheme="minorHAnsi"/>
        </w:rPr>
      </w:pPr>
    </w:p>
    <w:p w:rsidR="006C2A84" w:rsidRPr="000D1B89" w:rsidRDefault="006C2A84">
      <w:pPr>
        <w:rPr>
          <w:rFonts w:asciiTheme="minorHAnsi" w:hAnsiTheme="minorHAnsi" w:cstheme="minorHAnsi"/>
        </w:rPr>
      </w:pPr>
    </w:p>
    <w:p w:rsidR="006C2A84" w:rsidRPr="000D1B89" w:rsidRDefault="006C2A84">
      <w:pPr>
        <w:rPr>
          <w:rFonts w:asciiTheme="minorHAnsi" w:hAnsiTheme="minorHAnsi" w:cstheme="minorHAnsi"/>
        </w:rPr>
      </w:pPr>
    </w:p>
    <w:p w:rsidR="000D1B89" w:rsidRPr="000D1B89" w:rsidRDefault="000D1B89" w:rsidP="00EB0D3F">
      <w:pPr>
        <w:pStyle w:val="Normale1"/>
        <w:tabs>
          <w:tab w:val="center" w:pos="4513"/>
          <w:tab w:val="right" w:pos="9026"/>
        </w:tabs>
        <w:jc w:val="center"/>
        <w:rPr>
          <w:rFonts w:asciiTheme="minorHAnsi" w:hAnsiTheme="minorHAnsi" w:cstheme="minorHAnsi"/>
          <w:color w:val="0000FF"/>
          <w:sz w:val="36"/>
        </w:rPr>
      </w:pPr>
      <w:r w:rsidRPr="000D1B89">
        <w:rPr>
          <w:rFonts w:asciiTheme="minorHAnsi" w:hAnsiTheme="minorHAnsi" w:cstheme="minorHAnsi"/>
          <w:color w:val="0000FF"/>
          <w:sz w:val="36"/>
        </w:rPr>
        <w:t>Scheda Obiettivi</w:t>
      </w:r>
    </w:p>
    <w:p w:rsidR="00EB0D3F" w:rsidRPr="000D1B89" w:rsidRDefault="00EB0D3F" w:rsidP="00EB0D3F">
      <w:pPr>
        <w:pStyle w:val="Normale1"/>
        <w:tabs>
          <w:tab w:val="center" w:pos="4513"/>
          <w:tab w:val="right" w:pos="9026"/>
        </w:tabs>
        <w:jc w:val="center"/>
        <w:rPr>
          <w:rFonts w:asciiTheme="minorHAnsi" w:hAnsiTheme="minorHAnsi" w:cstheme="minorHAnsi"/>
          <w:color w:val="0000FF"/>
          <w:sz w:val="36"/>
        </w:rPr>
      </w:pPr>
      <w:r w:rsidRPr="000D1B89">
        <w:rPr>
          <w:rFonts w:asciiTheme="minorHAnsi" w:hAnsiTheme="minorHAnsi" w:cstheme="minorHAnsi"/>
          <w:color w:val="0000FF"/>
          <w:sz w:val="36"/>
        </w:rPr>
        <w:t>2018</w:t>
      </w:r>
    </w:p>
    <w:p w:rsidR="00EB0D3F" w:rsidRPr="000D1B89" w:rsidRDefault="00EB0D3F" w:rsidP="00EB0D3F">
      <w:pPr>
        <w:pStyle w:val="Normale1"/>
        <w:tabs>
          <w:tab w:val="center" w:pos="4513"/>
          <w:tab w:val="right" w:pos="9026"/>
        </w:tabs>
        <w:jc w:val="center"/>
        <w:rPr>
          <w:rFonts w:asciiTheme="minorHAnsi" w:hAnsiTheme="minorHAnsi" w:cstheme="minorHAnsi"/>
          <w:b/>
          <w:color w:val="000000"/>
          <w:sz w:val="22"/>
        </w:rPr>
      </w:pPr>
    </w:p>
    <w:p w:rsidR="00EB0D3F" w:rsidRPr="000D1B89" w:rsidRDefault="00EB0D3F" w:rsidP="00EB0D3F">
      <w:pPr>
        <w:pStyle w:val="Normale1"/>
        <w:tabs>
          <w:tab w:val="center" w:pos="4513"/>
          <w:tab w:val="right" w:pos="9026"/>
        </w:tabs>
        <w:jc w:val="center"/>
        <w:rPr>
          <w:rFonts w:asciiTheme="minorHAnsi" w:hAnsiTheme="minorHAnsi" w:cstheme="minorHAnsi"/>
          <w:b/>
          <w:color w:val="000000"/>
          <w:sz w:val="22"/>
        </w:rPr>
      </w:pPr>
    </w:p>
    <w:p w:rsidR="00EB0D3F" w:rsidRPr="000D1B89" w:rsidRDefault="00EB0D3F" w:rsidP="00EB0D3F">
      <w:pPr>
        <w:pStyle w:val="Normale1"/>
        <w:tabs>
          <w:tab w:val="center" w:pos="4513"/>
          <w:tab w:val="right" w:pos="9026"/>
        </w:tabs>
        <w:jc w:val="center"/>
        <w:rPr>
          <w:rFonts w:asciiTheme="minorHAnsi" w:hAnsiTheme="minorHAnsi" w:cstheme="minorHAnsi"/>
          <w:b/>
          <w:color w:val="000000"/>
          <w:sz w:val="22"/>
        </w:rPr>
      </w:pPr>
    </w:p>
    <w:p w:rsidR="00EB0D3F" w:rsidRPr="000D1B89" w:rsidRDefault="00EB0D3F" w:rsidP="00EB0D3F">
      <w:pPr>
        <w:pStyle w:val="Normale1"/>
        <w:tabs>
          <w:tab w:val="center" w:pos="4513"/>
          <w:tab w:val="right" w:pos="9026"/>
        </w:tabs>
        <w:jc w:val="center"/>
        <w:rPr>
          <w:rFonts w:asciiTheme="minorHAnsi" w:hAnsiTheme="minorHAnsi" w:cstheme="minorHAnsi"/>
          <w:b/>
          <w:sz w:val="24"/>
        </w:rPr>
      </w:pPr>
      <w:r w:rsidRPr="000D1B89">
        <w:rPr>
          <w:rFonts w:asciiTheme="minorHAnsi" w:hAnsiTheme="minorHAnsi" w:cstheme="minorHAnsi"/>
          <w:b/>
          <w:color w:val="000000"/>
          <w:sz w:val="24"/>
        </w:rPr>
        <w:t>Dirigente r</w:t>
      </w:r>
      <w:r w:rsidRPr="000D1B89">
        <w:rPr>
          <w:rFonts w:asciiTheme="minorHAnsi" w:hAnsiTheme="minorHAnsi" w:cstheme="minorHAnsi"/>
          <w:b/>
          <w:sz w:val="24"/>
        </w:rPr>
        <w:t>esponsabile</w:t>
      </w:r>
    </w:p>
    <w:p w:rsidR="00EB0D3F" w:rsidRPr="000D1B89" w:rsidRDefault="00D16F85" w:rsidP="00EB0D3F">
      <w:pPr>
        <w:pStyle w:val="Normale1"/>
        <w:tabs>
          <w:tab w:val="center" w:pos="4513"/>
          <w:tab w:val="right" w:pos="9026"/>
        </w:tabs>
        <w:jc w:val="center"/>
        <w:rPr>
          <w:rFonts w:asciiTheme="minorHAnsi" w:hAnsiTheme="minorHAnsi" w:cstheme="minorHAnsi"/>
          <w:color w:val="000000"/>
          <w:sz w:val="36"/>
        </w:rPr>
      </w:pPr>
      <w:r>
        <w:rPr>
          <w:rFonts w:asciiTheme="minorHAnsi" w:hAnsiTheme="minorHAnsi" w:cstheme="minorHAnsi"/>
          <w:b/>
          <w:sz w:val="36"/>
        </w:rPr>
        <w:t>Nicola Santovito</w:t>
      </w:r>
    </w:p>
    <w:p w:rsidR="006C2A84" w:rsidRPr="000D1B89" w:rsidRDefault="006C2A84">
      <w:pPr>
        <w:rPr>
          <w:rFonts w:asciiTheme="minorHAnsi" w:hAnsiTheme="minorHAnsi" w:cstheme="minorHAnsi"/>
          <w:sz w:val="24"/>
          <w:szCs w:val="24"/>
        </w:rPr>
      </w:pPr>
    </w:p>
    <w:p w:rsidR="006C2A84" w:rsidRPr="000D1B89" w:rsidRDefault="006C2A84">
      <w:pPr>
        <w:rPr>
          <w:rFonts w:asciiTheme="minorHAnsi" w:hAnsiTheme="minorHAnsi" w:cstheme="minorHAnsi"/>
          <w:sz w:val="24"/>
          <w:szCs w:val="24"/>
        </w:rPr>
      </w:pPr>
    </w:p>
    <w:p w:rsidR="000D1B89" w:rsidRPr="000D1B89" w:rsidRDefault="000D1B89" w:rsidP="000D1B89">
      <w:pPr>
        <w:pStyle w:val="Normale1"/>
        <w:tabs>
          <w:tab w:val="center" w:pos="4513"/>
          <w:tab w:val="right" w:pos="9026"/>
        </w:tabs>
        <w:jc w:val="center"/>
        <w:rPr>
          <w:rFonts w:asciiTheme="minorHAnsi" w:hAnsiTheme="minorHAnsi" w:cstheme="minorHAnsi"/>
          <w:b/>
          <w:color w:val="000000"/>
          <w:sz w:val="24"/>
          <w:szCs w:val="24"/>
        </w:rPr>
      </w:pPr>
      <w:r w:rsidRPr="000D1B89">
        <w:rPr>
          <w:rFonts w:asciiTheme="minorHAnsi" w:hAnsiTheme="minorHAnsi" w:cstheme="minorHAnsi"/>
          <w:b/>
          <w:color w:val="000000"/>
          <w:sz w:val="24"/>
          <w:szCs w:val="24"/>
        </w:rPr>
        <w:t>Struttur</w:t>
      </w:r>
      <w:r w:rsidR="00D339D6">
        <w:rPr>
          <w:rFonts w:asciiTheme="minorHAnsi" w:hAnsiTheme="minorHAnsi" w:cstheme="minorHAnsi"/>
          <w:b/>
          <w:color w:val="000000"/>
          <w:sz w:val="24"/>
          <w:szCs w:val="24"/>
        </w:rPr>
        <w:t>a</w:t>
      </w:r>
      <w:r w:rsidRPr="000D1B89">
        <w:rPr>
          <w:rFonts w:asciiTheme="minorHAnsi" w:hAnsiTheme="minorHAnsi" w:cstheme="minorHAnsi"/>
          <w:b/>
          <w:color w:val="000000"/>
          <w:sz w:val="24"/>
          <w:szCs w:val="24"/>
        </w:rPr>
        <w:t xml:space="preserve"> di riferimento</w:t>
      </w:r>
    </w:p>
    <w:p w:rsidR="000D1B89" w:rsidRPr="000D1B89" w:rsidRDefault="00D339D6" w:rsidP="000D1B89">
      <w:pPr>
        <w:pStyle w:val="Normale1"/>
        <w:tabs>
          <w:tab w:val="center" w:pos="4513"/>
          <w:tab w:val="right" w:pos="9026"/>
        </w:tabs>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Ufficio </w:t>
      </w:r>
      <w:r w:rsidR="00D16F85">
        <w:rPr>
          <w:rFonts w:asciiTheme="minorHAnsi" w:hAnsiTheme="minorHAnsi" w:cstheme="minorHAnsi"/>
          <w:b/>
          <w:color w:val="000000"/>
          <w:sz w:val="24"/>
          <w:szCs w:val="24"/>
        </w:rPr>
        <w:t>contabilità</w:t>
      </w:r>
    </w:p>
    <w:p w:rsidR="000D1B89" w:rsidRPr="000D1B89" w:rsidRDefault="000D1B89">
      <w:pPr>
        <w:rPr>
          <w:rFonts w:asciiTheme="minorHAnsi" w:hAnsiTheme="minorHAnsi" w:cstheme="minorHAnsi"/>
          <w:sz w:val="24"/>
          <w:szCs w:val="24"/>
        </w:rPr>
      </w:pPr>
    </w:p>
    <w:p w:rsidR="00C465D1" w:rsidRPr="000D1B89" w:rsidRDefault="00C465D1">
      <w:pPr>
        <w:rPr>
          <w:rFonts w:asciiTheme="minorHAnsi" w:hAnsiTheme="minorHAnsi" w:cstheme="minorHAnsi"/>
          <w:sz w:val="24"/>
          <w:szCs w:val="24"/>
        </w:rPr>
      </w:pPr>
    </w:p>
    <w:p w:rsidR="00D339D6" w:rsidRDefault="00D339D6" w:rsidP="00C465D1">
      <w:pPr>
        <w:pStyle w:val="Normale1"/>
        <w:rPr>
          <w:rFonts w:asciiTheme="minorHAnsi" w:hAnsiTheme="minorHAnsi" w:cstheme="minorHAnsi"/>
          <w:sz w:val="24"/>
          <w:szCs w:val="24"/>
        </w:rPr>
      </w:pPr>
    </w:p>
    <w:p w:rsidR="00D339D6" w:rsidRDefault="00D339D6" w:rsidP="00C465D1">
      <w:pPr>
        <w:pStyle w:val="Normale1"/>
        <w:rPr>
          <w:rFonts w:asciiTheme="minorHAnsi" w:hAnsiTheme="minorHAnsi" w:cstheme="minorHAnsi"/>
          <w:sz w:val="24"/>
          <w:szCs w:val="24"/>
        </w:rPr>
      </w:pPr>
    </w:p>
    <w:p w:rsidR="00C465D1" w:rsidRPr="000D1B89" w:rsidRDefault="00C465D1">
      <w:pPr>
        <w:rPr>
          <w:rFonts w:asciiTheme="minorHAnsi" w:hAnsiTheme="minorHAnsi" w:cstheme="minorHAnsi"/>
          <w:sz w:val="24"/>
          <w:szCs w:val="24"/>
        </w:rPr>
      </w:pPr>
    </w:p>
    <w:p w:rsidR="00C465D1" w:rsidRPr="000D1B89" w:rsidRDefault="00C465D1">
      <w:pPr>
        <w:rPr>
          <w:rFonts w:asciiTheme="minorHAnsi" w:hAnsiTheme="minorHAnsi" w:cstheme="minorHAnsi"/>
          <w:sz w:val="24"/>
          <w:szCs w:val="24"/>
        </w:rPr>
      </w:pPr>
    </w:p>
    <w:p w:rsidR="006C2A84" w:rsidRPr="000D1B89" w:rsidRDefault="006C2A84">
      <w:pPr>
        <w:rPr>
          <w:rFonts w:asciiTheme="minorHAnsi" w:hAnsiTheme="minorHAnsi" w:cstheme="minorHAnsi"/>
          <w:sz w:val="24"/>
          <w:szCs w:val="24"/>
        </w:rPr>
      </w:pPr>
    </w:p>
    <w:tbl>
      <w:tblPr>
        <w:tblStyle w:val="Grigliatabella"/>
        <w:tblW w:w="0" w:type="auto"/>
        <w:jc w:val="center"/>
        <w:tblLook w:val="04A0" w:firstRow="1" w:lastRow="0" w:firstColumn="1" w:lastColumn="0" w:noHBand="0" w:noVBand="1"/>
      </w:tblPr>
      <w:tblGrid>
        <w:gridCol w:w="5139"/>
        <w:gridCol w:w="5117"/>
        <w:gridCol w:w="5134"/>
      </w:tblGrid>
      <w:tr w:rsidR="00EB0D3F" w:rsidRPr="000D1B89" w:rsidTr="00C465D1">
        <w:trPr>
          <w:jc w:val="center"/>
        </w:trPr>
        <w:tc>
          <w:tcPr>
            <w:tcW w:w="5205" w:type="dxa"/>
            <w:tcBorders>
              <w:right w:val="single" w:sz="4" w:space="0" w:color="auto"/>
            </w:tcBorders>
            <w:vAlign w:val="center"/>
          </w:tcPr>
          <w:p w:rsidR="00EB0D3F" w:rsidRPr="000D1B89" w:rsidRDefault="00C465D1" w:rsidP="00EB0D3F">
            <w:pPr>
              <w:jc w:val="center"/>
              <w:rPr>
                <w:rFonts w:asciiTheme="minorHAnsi" w:hAnsiTheme="minorHAnsi" w:cstheme="minorHAnsi"/>
                <w:b/>
                <w:sz w:val="24"/>
                <w:szCs w:val="24"/>
              </w:rPr>
            </w:pPr>
            <w:r w:rsidRPr="000D1B89">
              <w:rPr>
                <w:rFonts w:asciiTheme="minorHAnsi" w:hAnsiTheme="minorHAnsi" w:cstheme="minorHAnsi"/>
                <w:b/>
                <w:sz w:val="24"/>
                <w:szCs w:val="24"/>
              </w:rPr>
              <w:t>Il responsabile della struttura</w:t>
            </w:r>
          </w:p>
        </w:tc>
        <w:tc>
          <w:tcPr>
            <w:tcW w:w="5205" w:type="dxa"/>
            <w:tcBorders>
              <w:top w:val="nil"/>
              <w:left w:val="single" w:sz="4" w:space="0" w:color="auto"/>
              <w:bottom w:val="nil"/>
              <w:right w:val="single" w:sz="4" w:space="0" w:color="auto"/>
            </w:tcBorders>
            <w:vAlign w:val="center"/>
          </w:tcPr>
          <w:p w:rsidR="00EB0D3F" w:rsidRPr="000D1B89" w:rsidRDefault="00EB0D3F" w:rsidP="00EB0D3F">
            <w:pPr>
              <w:jc w:val="center"/>
              <w:rPr>
                <w:rFonts w:asciiTheme="minorHAnsi" w:hAnsiTheme="minorHAnsi" w:cstheme="minorHAnsi"/>
                <w:b/>
                <w:sz w:val="24"/>
                <w:szCs w:val="24"/>
              </w:rPr>
            </w:pPr>
          </w:p>
        </w:tc>
        <w:tc>
          <w:tcPr>
            <w:tcW w:w="5206" w:type="dxa"/>
            <w:tcBorders>
              <w:left w:val="single" w:sz="4" w:space="0" w:color="auto"/>
            </w:tcBorders>
            <w:vAlign w:val="center"/>
          </w:tcPr>
          <w:p w:rsidR="00EB0D3F" w:rsidRPr="000D1B89" w:rsidRDefault="00C465D1" w:rsidP="00EB0D3F">
            <w:pPr>
              <w:jc w:val="center"/>
              <w:rPr>
                <w:rFonts w:asciiTheme="minorHAnsi" w:hAnsiTheme="minorHAnsi" w:cstheme="minorHAnsi"/>
                <w:b/>
                <w:sz w:val="24"/>
                <w:szCs w:val="24"/>
              </w:rPr>
            </w:pPr>
            <w:r w:rsidRPr="000D1B89">
              <w:rPr>
                <w:rFonts w:asciiTheme="minorHAnsi" w:hAnsiTheme="minorHAnsi" w:cstheme="minorHAnsi"/>
                <w:b/>
                <w:sz w:val="24"/>
                <w:szCs w:val="24"/>
              </w:rPr>
              <w:t>Il Direttore generale</w:t>
            </w:r>
          </w:p>
        </w:tc>
      </w:tr>
      <w:tr w:rsidR="00C465D1" w:rsidRPr="000D1B89" w:rsidTr="00C465D1">
        <w:trPr>
          <w:trHeight w:val="1077"/>
          <w:jc w:val="center"/>
        </w:trPr>
        <w:tc>
          <w:tcPr>
            <w:tcW w:w="5205" w:type="dxa"/>
            <w:tcBorders>
              <w:right w:val="single" w:sz="4" w:space="0" w:color="auto"/>
            </w:tcBorders>
            <w:vAlign w:val="center"/>
          </w:tcPr>
          <w:p w:rsidR="00C465D1" w:rsidRPr="000D1B89" w:rsidRDefault="00C465D1" w:rsidP="00EB0D3F">
            <w:pPr>
              <w:jc w:val="center"/>
              <w:rPr>
                <w:rFonts w:asciiTheme="minorHAnsi" w:hAnsiTheme="minorHAnsi" w:cstheme="minorHAnsi"/>
                <w:b/>
                <w:sz w:val="24"/>
                <w:szCs w:val="24"/>
              </w:rPr>
            </w:pPr>
          </w:p>
        </w:tc>
        <w:tc>
          <w:tcPr>
            <w:tcW w:w="5205" w:type="dxa"/>
            <w:tcBorders>
              <w:top w:val="nil"/>
              <w:left w:val="single" w:sz="4" w:space="0" w:color="auto"/>
              <w:bottom w:val="nil"/>
              <w:right w:val="single" w:sz="4" w:space="0" w:color="auto"/>
            </w:tcBorders>
            <w:vAlign w:val="center"/>
          </w:tcPr>
          <w:p w:rsidR="00C465D1" w:rsidRPr="000D1B89" w:rsidRDefault="00C465D1" w:rsidP="00EB0D3F">
            <w:pPr>
              <w:jc w:val="center"/>
              <w:rPr>
                <w:rFonts w:asciiTheme="minorHAnsi" w:hAnsiTheme="minorHAnsi" w:cstheme="minorHAnsi"/>
                <w:b/>
                <w:sz w:val="24"/>
                <w:szCs w:val="24"/>
              </w:rPr>
            </w:pPr>
          </w:p>
        </w:tc>
        <w:tc>
          <w:tcPr>
            <w:tcW w:w="5206" w:type="dxa"/>
            <w:tcBorders>
              <w:left w:val="single" w:sz="4" w:space="0" w:color="auto"/>
            </w:tcBorders>
            <w:vAlign w:val="center"/>
          </w:tcPr>
          <w:p w:rsidR="00C465D1" w:rsidRPr="000D1B89" w:rsidRDefault="00C465D1" w:rsidP="00EB0D3F">
            <w:pPr>
              <w:jc w:val="center"/>
              <w:rPr>
                <w:rFonts w:asciiTheme="minorHAnsi" w:hAnsiTheme="minorHAnsi" w:cstheme="minorHAnsi"/>
                <w:b/>
                <w:sz w:val="24"/>
                <w:szCs w:val="24"/>
              </w:rPr>
            </w:pPr>
          </w:p>
        </w:tc>
      </w:tr>
    </w:tbl>
    <w:p w:rsidR="006C2A84" w:rsidRPr="000D1B89" w:rsidRDefault="006C2A84">
      <w:pPr>
        <w:rPr>
          <w:rFonts w:asciiTheme="minorHAnsi" w:hAnsiTheme="minorHAnsi" w:cstheme="minorHAnsi"/>
          <w:sz w:val="24"/>
          <w:szCs w:val="24"/>
        </w:rPr>
      </w:pPr>
      <w:r w:rsidRPr="000D1B89">
        <w:rPr>
          <w:rFonts w:asciiTheme="minorHAnsi" w:hAnsiTheme="minorHAnsi" w:cstheme="minorHAnsi"/>
          <w:sz w:val="24"/>
          <w:szCs w:val="24"/>
        </w:rPr>
        <w:br w:type="page"/>
      </w:r>
    </w:p>
    <w:tbl>
      <w:tblPr>
        <w:tblW w:w="15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firstRow="0" w:lastRow="0" w:firstColumn="0" w:lastColumn="0" w:noHBand="0" w:noVBand="0"/>
      </w:tblPr>
      <w:tblGrid>
        <w:gridCol w:w="3510"/>
        <w:gridCol w:w="3630"/>
        <w:gridCol w:w="3410"/>
        <w:gridCol w:w="770"/>
        <w:gridCol w:w="4089"/>
      </w:tblGrid>
      <w:tr w:rsidR="0013670E" w:rsidRPr="000D1B89" w:rsidTr="0013670E">
        <w:tc>
          <w:tcPr>
            <w:tcW w:w="3510" w:type="dxa"/>
            <w:tcBorders>
              <w:bottom w:val="single" w:sz="4" w:space="0" w:color="auto"/>
            </w:tcBorders>
            <w:shd w:val="clear" w:color="auto" w:fill="D9D9D9"/>
            <w:tcMar>
              <w:top w:w="100" w:type="dxa"/>
              <w:left w:w="100" w:type="dxa"/>
              <w:bottom w:w="100" w:type="dxa"/>
              <w:right w:w="100" w:type="dxa"/>
            </w:tcMar>
            <w:vAlign w:val="center"/>
          </w:tcPr>
          <w:p w:rsidR="0013670E" w:rsidRPr="000D1B89" w:rsidRDefault="0013670E" w:rsidP="00D339D6">
            <w:pPr>
              <w:pStyle w:val="Normale1"/>
              <w:widowControl w:val="0"/>
              <w:jc w:val="center"/>
              <w:rPr>
                <w:rFonts w:asciiTheme="minorHAnsi" w:hAnsiTheme="minorHAnsi" w:cstheme="minorHAnsi"/>
                <w:color w:val="000000"/>
              </w:rPr>
            </w:pPr>
            <w:r w:rsidRPr="000D1B89">
              <w:rPr>
                <w:rFonts w:asciiTheme="minorHAnsi" w:hAnsiTheme="minorHAnsi" w:cstheme="minorHAnsi"/>
                <w:b/>
                <w:color w:val="000000"/>
              </w:rPr>
              <w:lastRenderedPageBreak/>
              <w:t>Obiettivo</w:t>
            </w:r>
          </w:p>
        </w:tc>
        <w:tc>
          <w:tcPr>
            <w:tcW w:w="3630" w:type="dxa"/>
            <w:tcBorders>
              <w:bottom w:val="single" w:sz="4" w:space="0" w:color="auto"/>
            </w:tcBorders>
            <w:shd w:val="clear" w:color="auto" w:fill="D9D9D9"/>
            <w:tcMar>
              <w:top w:w="100" w:type="dxa"/>
              <w:left w:w="100" w:type="dxa"/>
              <w:bottom w:w="100" w:type="dxa"/>
              <w:right w:w="100" w:type="dxa"/>
            </w:tcMar>
            <w:vAlign w:val="center"/>
          </w:tcPr>
          <w:p w:rsidR="0013670E" w:rsidRPr="000D1B89" w:rsidRDefault="0013670E" w:rsidP="000839BE">
            <w:pPr>
              <w:pStyle w:val="Normale1"/>
              <w:widowControl w:val="0"/>
              <w:jc w:val="center"/>
              <w:rPr>
                <w:rFonts w:asciiTheme="minorHAnsi" w:hAnsiTheme="minorHAnsi" w:cstheme="minorHAnsi"/>
                <w:color w:val="000000"/>
              </w:rPr>
            </w:pPr>
            <w:r w:rsidRPr="000D1B89">
              <w:rPr>
                <w:rFonts w:asciiTheme="minorHAnsi" w:hAnsiTheme="minorHAnsi" w:cstheme="minorHAnsi"/>
                <w:b/>
                <w:color w:val="000000"/>
              </w:rPr>
              <w:t>Indicatore</w:t>
            </w:r>
          </w:p>
        </w:tc>
        <w:tc>
          <w:tcPr>
            <w:tcW w:w="3410" w:type="dxa"/>
            <w:tcBorders>
              <w:bottom w:val="single" w:sz="4" w:space="0" w:color="auto"/>
            </w:tcBorders>
            <w:shd w:val="clear" w:color="auto" w:fill="D9D9D9"/>
            <w:tcMar>
              <w:top w:w="100" w:type="dxa"/>
              <w:left w:w="100" w:type="dxa"/>
              <w:bottom w:w="100" w:type="dxa"/>
              <w:right w:w="100" w:type="dxa"/>
            </w:tcMar>
            <w:vAlign w:val="center"/>
          </w:tcPr>
          <w:p w:rsidR="0013670E" w:rsidRPr="000D1B89" w:rsidRDefault="0013670E" w:rsidP="000839BE">
            <w:pPr>
              <w:pStyle w:val="Normale1"/>
              <w:widowControl w:val="0"/>
              <w:jc w:val="center"/>
              <w:rPr>
                <w:rFonts w:asciiTheme="minorHAnsi" w:hAnsiTheme="minorHAnsi" w:cstheme="minorHAnsi"/>
                <w:color w:val="000000"/>
              </w:rPr>
            </w:pPr>
            <w:r w:rsidRPr="000D1B89">
              <w:rPr>
                <w:rFonts w:asciiTheme="minorHAnsi" w:hAnsiTheme="minorHAnsi" w:cstheme="minorHAnsi"/>
                <w:b/>
                <w:color w:val="000000"/>
              </w:rPr>
              <w:t>Target</w:t>
            </w:r>
          </w:p>
        </w:tc>
        <w:tc>
          <w:tcPr>
            <w:tcW w:w="770" w:type="dxa"/>
            <w:tcBorders>
              <w:bottom w:val="single" w:sz="4" w:space="0" w:color="auto"/>
              <w:right w:val="single" w:sz="4" w:space="0" w:color="000000"/>
            </w:tcBorders>
            <w:shd w:val="clear" w:color="auto" w:fill="D9D9D9"/>
            <w:tcMar>
              <w:top w:w="100" w:type="dxa"/>
              <w:left w:w="100" w:type="dxa"/>
              <w:bottom w:w="100" w:type="dxa"/>
              <w:right w:w="100" w:type="dxa"/>
            </w:tcMar>
            <w:vAlign w:val="center"/>
          </w:tcPr>
          <w:p w:rsidR="0013670E" w:rsidRPr="000D1B89" w:rsidRDefault="0013670E" w:rsidP="00125985">
            <w:pPr>
              <w:pStyle w:val="Normale1"/>
              <w:widowControl w:val="0"/>
              <w:jc w:val="center"/>
              <w:rPr>
                <w:rFonts w:asciiTheme="minorHAnsi" w:hAnsiTheme="minorHAnsi" w:cstheme="minorHAnsi"/>
                <w:color w:val="000000"/>
              </w:rPr>
            </w:pPr>
            <w:r w:rsidRPr="000D1B89">
              <w:rPr>
                <w:rFonts w:asciiTheme="minorHAnsi" w:hAnsiTheme="minorHAnsi" w:cstheme="minorHAnsi"/>
                <w:b/>
                <w:color w:val="000000"/>
              </w:rPr>
              <w:t>Peso</w:t>
            </w:r>
          </w:p>
        </w:tc>
        <w:tc>
          <w:tcPr>
            <w:tcW w:w="4089" w:type="dxa"/>
            <w:tcBorders>
              <w:left w:val="single" w:sz="4" w:space="0" w:color="000000"/>
              <w:bottom w:val="single" w:sz="4" w:space="0" w:color="auto"/>
              <w:right w:val="single" w:sz="4" w:space="0" w:color="000000"/>
            </w:tcBorders>
            <w:shd w:val="clear" w:color="auto" w:fill="D9D9D9"/>
            <w:vAlign w:val="center"/>
          </w:tcPr>
          <w:p w:rsidR="0013670E" w:rsidRPr="000D1B89" w:rsidRDefault="0013670E" w:rsidP="000839BE">
            <w:pPr>
              <w:pStyle w:val="Normale1"/>
              <w:widowControl w:val="0"/>
              <w:jc w:val="center"/>
              <w:rPr>
                <w:rFonts w:asciiTheme="minorHAnsi" w:hAnsiTheme="minorHAnsi" w:cstheme="minorHAnsi"/>
                <w:color w:val="000000"/>
              </w:rPr>
            </w:pPr>
            <w:r w:rsidRPr="000D1B89">
              <w:rPr>
                <w:rFonts w:asciiTheme="minorHAnsi" w:hAnsiTheme="minorHAnsi" w:cstheme="minorHAnsi"/>
                <w:b/>
                <w:color w:val="000000"/>
              </w:rPr>
              <w:t>note</w:t>
            </w:r>
          </w:p>
        </w:tc>
      </w:tr>
      <w:tr w:rsidR="00CC1669" w:rsidRPr="000D1B89" w:rsidTr="00C73266">
        <w:trPr>
          <w:trHeight w:val="454"/>
        </w:trPr>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CC1669" w:rsidP="00BE64C7">
            <w:pPr>
              <w:pStyle w:val="Normale1"/>
              <w:jc w:val="both"/>
              <w:rPr>
                <w:rFonts w:asciiTheme="minorHAnsi" w:hAnsiTheme="minorHAnsi" w:cstheme="minorHAnsi"/>
                <w:color w:val="000000"/>
                <w:sz w:val="18"/>
              </w:rPr>
            </w:pPr>
            <w:r w:rsidRPr="00D16F85">
              <w:rPr>
                <w:rFonts w:asciiTheme="minorHAnsi" w:hAnsiTheme="minorHAnsi" w:cstheme="minorHAnsi"/>
                <w:color w:val="000000"/>
                <w:sz w:val="18"/>
              </w:rPr>
              <w:t>1.</w:t>
            </w:r>
            <w:r>
              <w:rPr>
                <w:rFonts w:asciiTheme="minorHAnsi" w:hAnsiTheme="minorHAnsi" w:cstheme="minorHAnsi"/>
                <w:color w:val="000000"/>
                <w:sz w:val="18"/>
              </w:rPr>
              <w:t xml:space="preserve"> Attuazione delle disposizioni di cui alla nota prot. n. 24940 del 21.3.2018 a firma del Direttore Amministrativo</w:t>
            </w: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036FFD" w:rsidP="00125985">
            <w:pPr>
              <w:pStyle w:val="Normale1"/>
              <w:jc w:val="both"/>
              <w:rPr>
                <w:rFonts w:asciiTheme="minorHAnsi" w:hAnsiTheme="minorHAnsi" w:cstheme="minorHAnsi"/>
                <w:color w:val="000000"/>
                <w:sz w:val="18"/>
              </w:rPr>
            </w:pPr>
            <w:r>
              <w:rPr>
                <w:rFonts w:asciiTheme="minorHAnsi" w:hAnsiTheme="minorHAnsi" w:cstheme="minorHAnsi"/>
                <w:sz w:val="18"/>
                <w:szCs w:val="18"/>
              </w:rPr>
              <w:t xml:space="preserve">a) </w:t>
            </w:r>
            <w:r w:rsidR="00CC1669" w:rsidRPr="00D16F85">
              <w:rPr>
                <w:rFonts w:asciiTheme="minorHAnsi" w:hAnsiTheme="minorHAnsi" w:cstheme="minorHAnsi"/>
                <w:sz w:val="18"/>
                <w:szCs w:val="18"/>
              </w:rPr>
              <w:t>Chiusura casse economali</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036FFD" w:rsidP="00125985">
            <w:pPr>
              <w:pStyle w:val="Normale1"/>
              <w:widowControl w:val="0"/>
              <w:jc w:val="both"/>
              <w:rPr>
                <w:rFonts w:asciiTheme="minorHAnsi" w:hAnsiTheme="minorHAnsi" w:cstheme="minorHAnsi"/>
                <w:color w:val="000000"/>
                <w:sz w:val="18"/>
              </w:rPr>
            </w:pPr>
            <w:bookmarkStart w:id="0" w:name="_gjdgxs" w:colFirst="0" w:colLast="0"/>
            <w:bookmarkStart w:id="1" w:name="30j0zll" w:colFirst="0" w:colLast="0"/>
            <w:bookmarkEnd w:id="0"/>
            <w:bookmarkEnd w:id="1"/>
            <w:r>
              <w:rPr>
                <w:rFonts w:asciiTheme="minorHAnsi" w:hAnsiTheme="minorHAnsi" w:cstheme="minorHAnsi"/>
                <w:sz w:val="18"/>
                <w:szCs w:val="18"/>
              </w:rPr>
              <w:t>Tre</w:t>
            </w:r>
            <w:r w:rsidR="00583858">
              <w:rPr>
                <w:rFonts w:asciiTheme="minorHAnsi" w:hAnsiTheme="minorHAnsi" w:cstheme="minorHAnsi"/>
                <w:sz w:val="18"/>
                <w:szCs w:val="18"/>
              </w:rPr>
              <w:t xml:space="preserve"> </w:t>
            </w:r>
            <w:r w:rsidR="00A306EB">
              <w:rPr>
                <w:rFonts w:asciiTheme="minorHAnsi" w:hAnsiTheme="minorHAnsi" w:cstheme="minorHAnsi"/>
                <w:sz w:val="18"/>
                <w:szCs w:val="18"/>
              </w:rPr>
              <w:t xml:space="preserve">casse </w:t>
            </w:r>
            <w:r w:rsidR="00583858">
              <w:rPr>
                <w:rFonts w:asciiTheme="minorHAnsi" w:hAnsiTheme="minorHAnsi" w:cstheme="minorHAnsi"/>
                <w:sz w:val="18"/>
                <w:szCs w:val="18"/>
              </w:rPr>
              <w:t>economali chiuse al 31.12.2018</w:t>
            </w:r>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4D3D88" w:rsidP="00125985">
            <w:pPr>
              <w:pStyle w:val="Normale1"/>
              <w:widowControl w:val="0"/>
              <w:jc w:val="center"/>
              <w:rPr>
                <w:rFonts w:asciiTheme="minorHAnsi" w:hAnsiTheme="minorHAnsi" w:cstheme="minorHAnsi"/>
                <w:sz w:val="18"/>
              </w:rPr>
            </w:pPr>
            <w:r>
              <w:rPr>
                <w:rFonts w:asciiTheme="minorHAnsi" w:hAnsiTheme="minorHAnsi" w:cstheme="minorHAnsi"/>
                <w:sz w:val="18"/>
              </w:rPr>
              <w:t>20</w:t>
            </w:r>
            <w:r w:rsidR="00CC1669">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125985" w:rsidP="00125985">
            <w:pPr>
              <w:pStyle w:val="Normale1"/>
              <w:widowControl w:val="0"/>
              <w:jc w:val="both"/>
              <w:rPr>
                <w:rFonts w:asciiTheme="minorHAnsi" w:hAnsiTheme="minorHAnsi" w:cstheme="minorHAnsi"/>
                <w:color w:val="000000"/>
                <w:sz w:val="18"/>
              </w:rPr>
            </w:pPr>
            <w:r>
              <w:rPr>
                <w:rFonts w:asciiTheme="minorHAnsi" w:hAnsiTheme="minorHAnsi" w:cstheme="minorHAnsi"/>
                <w:color w:val="000000"/>
                <w:sz w:val="18"/>
              </w:rPr>
              <w:t>Assegnazione congiunta ad Economo.</w:t>
            </w:r>
          </w:p>
        </w:tc>
      </w:tr>
      <w:tr w:rsidR="00CC1669" w:rsidRPr="000D1B89" w:rsidTr="00C73266">
        <w:trPr>
          <w:trHeight w:val="454"/>
        </w:trPr>
        <w:tc>
          <w:tcPr>
            <w:tcW w:w="3510" w:type="dxa"/>
            <w:vMerge w:val="restart"/>
            <w:tcBorders>
              <w:top w:val="single" w:sz="4" w:space="0" w:color="auto"/>
              <w:left w:val="single" w:sz="4" w:space="0" w:color="auto"/>
              <w:right w:val="single" w:sz="4" w:space="0" w:color="auto"/>
            </w:tcBorders>
            <w:tcMar>
              <w:top w:w="100" w:type="dxa"/>
              <w:left w:w="100" w:type="dxa"/>
              <w:bottom w:w="100" w:type="dxa"/>
              <w:right w:w="100" w:type="dxa"/>
            </w:tcMar>
            <w:vAlign w:val="center"/>
          </w:tcPr>
          <w:p w:rsidR="00CC1669" w:rsidRPr="000D1B89" w:rsidRDefault="00CC1669" w:rsidP="00BE64C7">
            <w:pPr>
              <w:pStyle w:val="Normale1"/>
              <w:widowControl w:val="0"/>
              <w:jc w:val="both"/>
              <w:rPr>
                <w:rFonts w:asciiTheme="minorHAnsi" w:hAnsiTheme="minorHAnsi" w:cstheme="minorHAnsi"/>
                <w:sz w:val="18"/>
              </w:rPr>
            </w:pPr>
            <w:r>
              <w:rPr>
                <w:rFonts w:asciiTheme="minorHAnsi" w:hAnsiTheme="minorHAnsi" w:cstheme="minorHAnsi"/>
                <w:sz w:val="18"/>
              </w:rPr>
              <w:t xml:space="preserve">2 </w:t>
            </w:r>
            <w:r w:rsidRPr="000D1B89">
              <w:rPr>
                <w:rFonts w:asciiTheme="minorHAnsi" w:hAnsiTheme="minorHAnsi" w:cstheme="minorHAnsi"/>
                <w:sz w:val="18"/>
              </w:rPr>
              <w:t>Rispetto dei target previsti dal piano degli indicatori e dei risultati attesi di bilancio</w:t>
            </w: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036FFD" w:rsidP="00125985">
            <w:pPr>
              <w:pStyle w:val="Normale1"/>
              <w:jc w:val="both"/>
              <w:rPr>
                <w:rFonts w:asciiTheme="minorHAnsi" w:hAnsiTheme="minorHAnsi" w:cstheme="minorHAnsi"/>
                <w:color w:val="000000"/>
                <w:sz w:val="18"/>
              </w:rPr>
            </w:pPr>
            <w:r>
              <w:rPr>
                <w:rFonts w:asciiTheme="minorHAnsi" w:hAnsiTheme="minorHAnsi" w:cstheme="minorHAnsi"/>
                <w:sz w:val="18"/>
                <w:szCs w:val="18"/>
              </w:rPr>
              <w:t xml:space="preserve">a) </w:t>
            </w:r>
            <w:r w:rsidR="00583858" w:rsidRPr="00D16F85">
              <w:rPr>
                <w:rFonts w:asciiTheme="minorHAnsi" w:hAnsiTheme="minorHAnsi" w:cstheme="minorHAnsi"/>
                <w:sz w:val="18"/>
                <w:szCs w:val="18"/>
              </w:rPr>
              <w:t xml:space="preserve">Conciliazione </w:t>
            </w:r>
            <w:r w:rsidR="00CC1669" w:rsidRPr="00D16F85">
              <w:rPr>
                <w:rFonts w:asciiTheme="minorHAnsi" w:hAnsiTheme="minorHAnsi" w:cstheme="minorHAnsi"/>
                <w:sz w:val="18"/>
                <w:szCs w:val="18"/>
              </w:rPr>
              <w:t>tra contabilità finanziaria e contabilità economica</w:t>
            </w:r>
            <w:r w:rsidR="00125985">
              <w:rPr>
                <w:rFonts w:asciiTheme="minorHAnsi" w:hAnsiTheme="minorHAnsi" w:cstheme="minorHAnsi"/>
                <w:sz w:val="18"/>
                <w:szCs w:val="18"/>
              </w:rPr>
              <w:t xml:space="preserve"> mediante v</w:t>
            </w:r>
            <w:r w:rsidR="00125985" w:rsidRPr="00D16F85">
              <w:rPr>
                <w:rFonts w:asciiTheme="minorHAnsi" w:hAnsiTheme="minorHAnsi" w:cstheme="minorHAnsi"/>
                <w:sz w:val="18"/>
                <w:szCs w:val="18"/>
              </w:rPr>
              <w:t xml:space="preserve">erifica </w:t>
            </w:r>
            <w:r w:rsidR="00125985">
              <w:rPr>
                <w:rFonts w:asciiTheme="minorHAnsi" w:hAnsiTheme="minorHAnsi" w:cstheme="minorHAnsi"/>
                <w:sz w:val="18"/>
                <w:szCs w:val="18"/>
              </w:rPr>
              <w:t xml:space="preserve">al </w:t>
            </w:r>
            <w:r w:rsidR="00125985" w:rsidRPr="00D16F85">
              <w:rPr>
                <w:rFonts w:asciiTheme="minorHAnsi" w:hAnsiTheme="minorHAnsi" w:cstheme="minorHAnsi"/>
                <w:sz w:val="18"/>
                <w:szCs w:val="18"/>
              </w:rPr>
              <w:t>3</w:t>
            </w:r>
            <w:r w:rsidR="00BE64C7">
              <w:rPr>
                <w:rFonts w:asciiTheme="minorHAnsi" w:hAnsiTheme="minorHAnsi" w:cstheme="minorHAnsi"/>
                <w:sz w:val="18"/>
                <w:szCs w:val="18"/>
              </w:rPr>
              <w:t>1</w:t>
            </w:r>
            <w:r w:rsidR="00125985" w:rsidRPr="00D16F85">
              <w:rPr>
                <w:rFonts w:asciiTheme="minorHAnsi" w:hAnsiTheme="minorHAnsi" w:cstheme="minorHAnsi"/>
                <w:sz w:val="18"/>
                <w:szCs w:val="18"/>
              </w:rPr>
              <w:t>.1</w:t>
            </w:r>
            <w:r w:rsidR="00BE64C7">
              <w:rPr>
                <w:rFonts w:asciiTheme="minorHAnsi" w:hAnsiTheme="minorHAnsi" w:cstheme="minorHAnsi"/>
                <w:sz w:val="18"/>
                <w:szCs w:val="18"/>
              </w:rPr>
              <w:t>0</w:t>
            </w:r>
            <w:r w:rsidR="00125985" w:rsidRPr="00D16F85">
              <w:rPr>
                <w:rFonts w:asciiTheme="minorHAnsi" w:hAnsiTheme="minorHAnsi" w:cstheme="minorHAnsi"/>
                <w:sz w:val="18"/>
                <w:szCs w:val="18"/>
              </w:rPr>
              <w:t xml:space="preserve">.2018 </w:t>
            </w:r>
            <w:r w:rsidR="00125985">
              <w:rPr>
                <w:rFonts w:asciiTheme="minorHAnsi" w:hAnsiTheme="minorHAnsi" w:cstheme="minorHAnsi"/>
                <w:sz w:val="18"/>
                <w:szCs w:val="18"/>
              </w:rPr>
              <w:t>su scritture di cassa economale.</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E82F93" w:rsidP="00125985">
            <w:pPr>
              <w:pStyle w:val="Normale1"/>
              <w:widowControl w:val="0"/>
              <w:jc w:val="both"/>
              <w:rPr>
                <w:rFonts w:asciiTheme="minorHAnsi" w:hAnsiTheme="minorHAnsi" w:cstheme="minorHAnsi"/>
                <w:color w:val="000000"/>
                <w:sz w:val="18"/>
              </w:rPr>
            </w:pPr>
            <w:r>
              <w:rPr>
                <w:rFonts w:asciiTheme="minorHAnsi" w:hAnsiTheme="minorHAnsi" w:cstheme="minorHAnsi"/>
                <w:color w:val="000000"/>
                <w:sz w:val="18"/>
              </w:rPr>
              <w:t>Prospetto di riconciliazione tra scritture di contabilità finanziaria ed economico patrimoniale</w:t>
            </w:r>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4D3D88" w:rsidP="00125985">
            <w:pPr>
              <w:pStyle w:val="Normale1"/>
              <w:widowControl w:val="0"/>
              <w:jc w:val="center"/>
              <w:rPr>
                <w:rFonts w:asciiTheme="minorHAnsi" w:hAnsiTheme="minorHAnsi" w:cstheme="minorHAnsi"/>
                <w:sz w:val="18"/>
              </w:rPr>
            </w:pPr>
            <w:r>
              <w:rPr>
                <w:rFonts w:asciiTheme="minorHAnsi" w:hAnsiTheme="minorHAnsi" w:cstheme="minorHAnsi"/>
                <w:sz w:val="18"/>
              </w:rPr>
              <w:t>15</w:t>
            </w:r>
            <w:r w:rsidR="00CC1669">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CC1669" w:rsidP="00125985">
            <w:pPr>
              <w:pStyle w:val="Normale1"/>
              <w:widowControl w:val="0"/>
              <w:jc w:val="both"/>
              <w:rPr>
                <w:rFonts w:asciiTheme="minorHAnsi" w:hAnsiTheme="minorHAnsi" w:cstheme="minorHAnsi"/>
                <w:color w:val="000000"/>
                <w:sz w:val="18"/>
              </w:rPr>
            </w:pPr>
          </w:p>
        </w:tc>
      </w:tr>
      <w:tr w:rsidR="00CC1669" w:rsidRPr="000D1B89" w:rsidTr="00C73266">
        <w:trPr>
          <w:trHeight w:val="454"/>
        </w:trPr>
        <w:tc>
          <w:tcPr>
            <w:tcW w:w="3510" w:type="dxa"/>
            <w:vMerge/>
            <w:tcBorders>
              <w:left w:val="single" w:sz="4" w:space="0" w:color="auto"/>
              <w:right w:val="single" w:sz="4" w:space="0" w:color="auto"/>
            </w:tcBorders>
            <w:tcMar>
              <w:top w:w="100" w:type="dxa"/>
              <w:left w:w="100" w:type="dxa"/>
              <w:bottom w:w="100" w:type="dxa"/>
              <w:right w:w="100" w:type="dxa"/>
            </w:tcMar>
            <w:vAlign w:val="center"/>
          </w:tcPr>
          <w:p w:rsidR="00CC1669" w:rsidRPr="00D16F85" w:rsidRDefault="00CC1669" w:rsidP="00BE64C7">
            <w:pPr>
              <w:pStyle w:val="Normale1"/>
              <w:widowControl w:val="0"/>
              <w:jc w:val="both"/>
              <w:rPr>
                <w:rFonts w:asciiTheme="minorHAnsi" w:hAnsiTheme="minorHAnsi" w:cstheme="minorHAnsi"/>
                <w:sz w:val="18"/>
              </w:rPr>
            </w:pP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036FFD" w:rsidP="00125985">
            <w:pPr>
              <w:pStyle w:val="Normale1"/>
              <w:widowControl w:val="0"/>
              <w:jc w:val="both"/>
              <w:rPr>
                <w:rFonts w:asciiTheme="minorHAnsi" w:hAnsiTheme="minorHAnsi" w:cstheme="minorHAnsi"/>
                <w:sz w:val="18"/>
              </w:rPr>
            </w:pPr>
            <w:r>
              <w:rPr>
                <w:rFonts w:asciiTheme="minorHAnsi" w:hAnsiTheme="minorHAnsi" w:cstheme="minorHAnsi"/>
                <w:sz w:val="18"/>
                <w:szCs w:val="18"/>
              </w:rPr>
              <w:t xml:space="preserve">b) </w:t>
            </w:r>
            <w:r w:rsidR="00BE64C7">
              <w:rPr>
                <w:rFonts w:asciiTheme="minorHAnsi" w:hAnsiTheme="minorHAnsi" w:cstheme="minorHAnsi"/>
                <w:sz w:val="18"/>
                <w:szCs w:val="18"/>
              </w:rPr>
              <w:t>Preliminare q</w:t>
            </w:r>
            <w:r w:rsidR="00CC1669" w:rsidRPr="00D16F85">
              <w:rPr>
                <w:rFonts w:asciiTheme="minorHAnsi" w:hAnsiTheme="minorHAnsi" w:cstheme="minorHAnsi"/>
                <w:sz w:val="18"/>
                <w:szCs w:val="18"/>
              </w:rPr>
              <w:t>uadratura del conto di tesoreri</w:t>
            </w:r>
            <w:r w:rsidR="00125985">
              <w:rPr>
                <w:rFonts w:asciiTheme="minorHAnsi" w:hAnsiTheme="minorHAnsi" w:cstheme="minorHAnsi"/>
                <w:sz w:val="18"/>
                <w:szCs w:val="18"/>
              </w:rPr>
              <w:t>a e dei conti collegati all’IVA.</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Default="00583858" w:rsidP="00125985">
            <w:pPr>
              <w:pStyle w:val="Normale1"/>
              <w:widowControl w:val="0"/>
              <w:jc w:val="both"/>
              <w:rPr>
                <w:rFonts w:asciiTheme="minorHAnsi" w:hAnsiTheme="minorHAnsi" w:cstheme="minorHAnsi"/>
                <w:sz w:val="18"/>
                <w:szCs w:val="18"/>
              </w:rPr>
            </w:pPr>
            <w:r>
              <w:rPr>
                <w:rFonts w:asciiTheme="minorHAnsi" w:hAnsiTheme="minorHAnsi" w:cstheme="minorHAnsi"/>
                <w:sz w:val="18"/>
                <w:szCs w:val="18"/>
              </w:rPr>
              <w:t xml:space="preserve">Quadratura </w:t>
            </w:r>
            <w:r w:rsidR="00BE64C7">
              <w:rPr>
                <w:rFonts w:asciiTheme="minorHAnsi" w:hAnsiTheme="minorHAnsi" w:cstheme="minorHAnsi"/>
                <w:sz w:val="18"/>
                <w:szCs w:val="18"/>
              </w:rPr>
              <w:t xml:space="preserve">di massima </w:t>
            </w:r>
            <w:r w:rsidRPr="00D16F85">
              <w:rPr>
                <w:rFonts w:asciiTheme="minorHAnsi" w:hAnsiTheme="minorHAnsi" w:cstheme="minorHAnsi"/>
                <w:sz w:val="18"/>
                <w:szCs w:val="18"/>
              </w:rPr>
              <w:t>alla data del 30.9.2018 e del 30.11.2018</w:t>
            </w:r>
            <w:r w:rsidR="00125985">
              <w:rPr>
                <w:rFonts w:asciiTheme="minorHAnsi" w:hAnsiTheme="minorHAnsi" w:cstheme="minorHAnsi"/>
                <w:sz w:val="18"/>
                <w:szCs w:val="18"/>
              </w:rPr>
              <w:t>.</w:t>
            </w:r>
          </w:p>
          <w:p w:rsidR="00E82F93" w:rsidRPr="000D1B89" w:rsidRDefault="00E82F93" w:rsidP="00125985">
            <w:pPr>
              <w:pStyle w:val="Normale1"/>
              <w:widowControl w:val="0"/>
              <w:jc w:val="both"/>
              <w:rPr>
                <w:rFonts w:asciiTheme="minorHAnsi" w:hAnsiTheme="minorHAnsi" w:cstheme="minorHAnsi"/>
                <w:color w:val="000000"/>
                <w:sz w:val="18"/>
              </w:rPr>
            </w:pPr>
            <w:r>
              <w:rPr>
                <w:rFonts w:asciiTheme="minorHAnsi" w:hAnsiTheme="minorHAnsi" w:cstheme="minorHAnsi"/>
                <w:sz w:val="18"/>
                <w:szCs w:val="18"/>
              </w:rPr>
              <w:t>(Attestato da prospetto di conciliazione)</w:t>
            </w:r>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4D3D88" w:rsidP="00125985">
            <w:pPr>
              <w:pStyle w:val="Normale1"/>
              <w:widowControl w:val="0"/>
              <w:jc w:val="center"/>
              <w:rPr>
                <w:rFonts w:asciiTheme="minorHAnsi" w:hAnsiTheme="minorHAnsi" w:cstheme="minorHAnsi"/>
                <w:sz w:val="18"/>
              </w:rPr>
            </w:pPr>
            <w:r>
              <w:rPr>
                <w:rFonts w:asciiTheme="minorHAnsi" w:hAnsiTheme="minorHAnsi" w:cstheme="minorHAnsi"/>
                <w:sz w:val="18"/>
              </w:rPr>
              <w:t>15</w:t>
            </w:r>
            <w:r w:rsidR="00CC1669">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E82F93" w:rsidP="00125985">
            <w:pPr>
              <w:pStyle w:val="Normale1"/>
              <w:widowControl w:val="0"/>
              <w:jc w:val="both"/>
              <w:rPr>
                <w:rFonts w:asciiTheme="minorHAnsi" w:hAnsiTheme="minorHAnsi" w:cstheme="minorHAnsi"/>
                <w:sz w:val="18"/>
              </w:rPr>
            </w:pPr>
            <w:r>
              <w:rPr>
                <w:rFonts w:asciiTheme="minorHAnsi" w:hAnsiTheme="minorHAnsi" w:cstheme="minorHAnsi"/>
                <w:sz w:val="18"/>
              </w:rPr>
              <w:t>Termine di completamento attività di due mesi</w:t>
            </w:r>
          </w:p>
        </w:tc>
      </w:tr>
      <w:tr w:rsidR="00CC1669" w:rsidRPr="000D1B89" w:rsidTr="00C73266">
        <w:trPr>
          <w:trHeight w:val="454"/>
        </w:trPr>
        <w:tc>
          <w:tcPr>
            <w:tcW w:w="3510" w:type="dxa"/>
            <w:vMerge/>
            <w:tcBorders>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CC1669" w:rsidP="00BE64C7">
            <w:pPr>
              <w:pStyle w:val="Normale1"/>
              <w:widowControl w:val="0"/>
              <w:jc w:val="both"/>
              <w:rPr>
                <w:rFonts w:asciiTheme="minorHAnsi" w:hAnsiTheme="minorHAnsi" w:cstheme="minorHAnsi"/>
                <w:sz w:val="18"/>
              </w:rPr>
            </w:pP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D16F85" w:rsidRDefault="00036FFD" w:rsidP="00125985">
            <w:pPr>
              <w:pStyle w:val="Normale1"/>
              <w:widowControl w:val="0"/>
              <w:jc w:val="both"/>
              <w:rPr>
                <w:rFonts w:asciiTheme="minorHAnsi" w:hAnsiTheme="minorHAnsi" w:cstheme="minorHAnsi"/>
                <w:sz w:val="18"/>
              </w:rPr>
            </w:pPr>
            <w:r>
              <w:rPr>
                <w:rFonts w:asciiTheme="minorHAnsi" w:hAnsiTheme="minorHAnsi" w:cstheme="minorHAnsi"/>
                <w:sz w:val="18"/>
                <w:szCs w:val="18"/>
              </w:rPr>
              <w:t xml:space="preserve">c) </w:t>
            </w:r>
            <w:r w:rsidR="00CC1669" w:rsidRPr="00D16F85">
              <w:rPr>
                <w:rFonts w:asciiTheme="minorHAnsi" w:hAnsiTheme="minorHAnsi" w:cstheme="minorHAnsi"/>
                <w:sz w:val="18"/>
                <w:szCs w:val="18"/>
              </w:rPr>
              <w:t>Istruzioni operative per la conciliazione tra la contabilità finanziaria e la contabilità generale in materia di ordini e fatture</w:t>
            </w:r>
            <w:r w:rsidR="00125985">
              <w:rPr>
                <w:rFonts w:asciiTheme="minorHAnsi" w:hAnsiTheme="minorHAnsi" w:cstheme="minorHAnsi"/>
                <w:sz w:val="18"/>
                <w:szCs w:val="18"/>
              </w:rPr>
              <w:t>.</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A60CB9" w:rsidP="00125985">
            <w:pPr>
              <w:pStyle w:val="Normale1"/>
              <w:widowControl w:val="0"/>
              <w:jc w:val="both"/>
              <w:rPr>
                <w:rFonts w:asciiTheme="minorHAnsi" w:hAnsiTheme="minorHAnsi" w:cstheme="minorHAnsi"/>
                <w:sz w:val="18"/>
              </w:rPr>
            </w:pPr>
            <w:r>
              <w:rPr>
                <w:rFonts w:asciiTheme="minorHAnsi" w:hAnsiTheme="minorHAnsi" w:cstheme="minorHAnsi"/>
                <w:sz w:val="18"/>
              </w:rPr>
              <w:t>Istruzioni operative entro il 31.10.2018</w:t>
            </w:r>
            <w:r w:rsidR="00125985">
              <w:rPr>
                <w:rFonts w:asciiTheme="minorHAnsi" w:hAnsiTheme="minorHAnsi" w:cstheme="minorHAnsi"/>
                <w:sz w:val="18"/>
              </w:rPr>
              <w:t>.</w:t>
            </w:r>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4D3D88" w:rsidP="00125985">
            <w:pPr>
              <w:pStyle w:val="Normale1"/>
              <w:widowControl w:val="0"/>
              <w:jc w:val="center"/>
              <w:rPr>
                <w:rFonts w:asciiTheme="minorHAnsi" w:hAnsiTheme="minorHAnsi" w:cstheme="minorHAnsi"/>
                <w:sz w:val="18"/>
              </w:rPr>
            </w:pPr>
            <w:r>
              <w:rPr>
                <w:rFonts w:asciiTheme="minorHAnsi" w:hAnsiTheme="minorHAnsi" w:cstheme="minorHAnsi"/>
                <w:sz w:val="18"/>
              </w:rPr>
              <w:t>15</w:t>
            </w:r>
            <w:r w:rsidR="00CC1669">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CC1669" w:rsidRPr="000D1B89" w:rsidRDefault="00CC1669" w:rsidP="00125985">
            <w:pPr>
              <w:pStyle w:val="Normale1"/>
              <w:widowControl w:val="0"/>
              <w:jc w:val="both"/>
              <w:rPr>
                <w:rFonts w:asciiTheme="minorHAnsi" w:hAnsiTheme="minorHAnsi" w:cstheme="minorHAnsi"/>
                <w:sz w:val="18"/>
              </w:rPr>
            </w:pPr>
          </w:p>
        </w:tc>
      </w:tr>
      <w:tr w:rsidR="00A03F76" w:rsidRPr="000D1B89" w:rsidTr="000630D7">
        <w:trPr>
          <w:trHeight w:val="454"/>
        </w:trPr>
        <w:tc>
          <w:tcPr>
            <w:tcW w:w="3510"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A03F76">
            <w:pPr>
              <w:pStyle w:val="Normale1"/>
              <w:widowControl w:val="0"/>
              <w:jc w:val="both"/>
              <w:rPr>
                <w:rFonts w:asciiTheme="minorHAnsi" w:hAnsiTheme="minorHAnsi" w:cstheme="minorHAnsi"/>
                <w:sz w:val="18"/>
              </w:rPr>
            </w:pPr>
            <w:r w:rsidRPr="00DE752D">
              <w:rPr>
                <w:rFonts w:asciiTheme="minorHAnsi" w:hAnsiTheme="minorHAnsi" w:cstheme="minorHAnsi"/>
                <w:sz w:val="18"/>
              </w:rPr>
              <w:t>3.</w:t>
            </w:r>
            <w:r w:rsidRPr="00DE752D">
              <w:rPr>
                <w:rFonts w:asciiTheme="minorHAnsi" w:hAnsiTheme="minorHAnsi" w:cstheme="minorHAnsi"/>
                <w:sz w:val="18"/>
                <w:szCs w:val="18"/>
              </w:rPr>
              <w:t xml:space="preserve"> Riapertura procedura informatica contabile dopo operazioni preliminari</w:t>
            </w:r>
          </w:p>
        </w:tc>
        <w:tc>
          <w:tcPr>
            <w:tcW w:w="3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A03F76">
            <w:pPr>
              <w:pStyle w:val="Normale1"/>
              <w:widowControl w:val="0"/>
              <w:jc w:val="both"/>
              <w:rPr>
                <w:rFonts w:asciiTheme="minorHAnsi" w:hAnsiTheme="minorHAnsi" w:cstheme="minorHAnsi"/>
                <w:sz w:val="18"/>
              </w:rPr>
            </w:pPr>
            <w:r>
              <w:rPr>
                <w:rFonts w:asciiTheme="minorHAnsi" w:hAnsiTheme="minorHAnsi" w:cstheme="minorHAnsi"/>
                <w:sz w:val="18"/>
              </w:rPr>
              <w:t>Predisposizione di piano d’azione</w:t>
            </w:r>
          </w:p>
        </w:tc>
        <w:tc>
          <w:tcPr>
            <w:tcW w:w="3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A03F76">
            <w:pPr>
              <w:pStyle w:val="Normale1"/>
              <w:widowControl w:val="0"/>
              <w:jc w:val="both"/>
              <w:rPr>
                <w:rFonts w:asciiTheme="minorHAnsi" w:hAnsiTheme="minorHAnsi" w:cstheme="minorHAnsi"/>
                <w:sz w:val="18"/>
              </w:rPr>
            </w:pPr>
            <w:r>
              <w:rPr>
                <w:rFonts w:asciiTheme="minorHAnsi" w:hAnsiTheme="minorHAnsi" w:cstheme="minorHAnsi"/>
                <w:sz w:val="18"/>
              </w:rPr>
              <w:t>Entro il 30.11.2018</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4D3D88" w:rsidP="00A03F76">
            <w:pPr>
              <w:pStyle w:val="Normale1"/>
              <w:widowControl w:val="0"/>
              <w:jc w:val="center"/>
              <w:rPr>
                <w:rFonts w:asciiTheme="minorHAnsi" w:hAnsiTheme="minorHAnsi" w:cstheme="minorHAnsi"/>
                <w:sz w:val="18"/>
              </w:rPr>
            </w:pPr>
            <w:bookmarkStart w:id="2" w:name="_GoBack"/>
            <w:bookmarkEnd w:id="2"/>
            <w:r>
              <w:rPr>
                <w:rFonts w:asciiTheme="minorHAnsi" w:hAnsiTheme="minorHAnsi" w:cstheme="minorHAnsi"/>
                <w:sz w:val="18"/>
              </w:rPr>
              <w:t>15</w:t>
            </w:r>
            <w:r w:rsidR="00A03F76" w:rsidRPr="00DE752D">
              <w:rPr>
                <w:rFonts w:asciiTheme="minorHAnsi" w:hAnsiTheme="minorHAnsi" w:cstheme="minorHAnsi"/>
                <w:sz w:val="18"/>
              </w:rPr>
              <w:t>%</w:t>
            </w:r>
          </w:p>
        </w:tc>
        <w:tc>
          <w:tcPr>
            <w:tcW w:w="4089"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vAlign w:val="center"/>
          </w:tcPr>
          <w:p w:rsidR="00A03F76" w:rsidRPr="000D1B89" w:rsidRDefault="00A03F76" w:rsidP="00A03F76">
            <w:pPr>
              <w:pStyle w:val="Normale1"/>
              <w:widowControl w:val="0"/>
              <w:jc w:val="both"/>
              <w:rPr>
                <w:rFonts w:asciiTheme="minorHAnsi" w:hAnsiTheme="minorHAnsi" w:cstheme="minorHAnsi"/>
                <w:color w:val="000000"/>
                <w:sz w:val="18"/>
              </w:rPr>
            </w:pPr>
            <w:r>
              <w:rPr>
                <w:rFonts w:asciiTheme="minorHAnsi" w:hAnsiTheme="minorHAnsi" w:cstheme="minorHAnsi"/>
                <w:color w:val="000000"/>
                <w:sz w:val="18"/>
              </w:rPr>
              <w:t>Assegnazione congiunta ad AFA.</w:t>
            </w:r>
          </w:p>
        </w:tc>
      </w:tr>
      <w:tr w:rsidR="00A03F76" w:rsidRPr="000D1B89" w:rsidTr="000630D7">
        <w:trPr>
          <w:trHeight w:val="454"/>
        </w:trPr>
        <w:tc>
          <w:tcPr>
            <w:tcW w:w="3510"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0630D7">
            <w:pPr>
              <w:pStyle w:val="Normale1"/>
              <w:widowControl w:val="0"/>
              <w:jc w:val="both"/>
              <w:rPr>
                <w:rFonts w:asciiTheme="minorHAnsi" w:hAnsiTheme="minorHAnsi" w:cstheme="minorHAnsi"/>
                <w:sz w:val="18"/>
              </w:rPr>
            </w:pPr>
          </w:p>
        </w:tc>
        <w:tc>
          <w:tcPr>
            <w:tcW w:w="3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0630D7">
            <w:pPr>
              <w:pStyle w:val="Normale1"/>
              <w:widowControl w:val="0"/>
              <w:jc w:val="both"/>
              <w:rPr>
                <w:rFonts w:asciiTheme="minorHAnsi" w:hAnsiTheme="minorHAnsi" w:cstheme="minorHAnsi"/>
                <w:sz w:val="18"/>
                <w:szCs w:val="18"/>
              </w:rPr>
            </w:pPr>
            <w:r w:rsidRPr="00DE752D">
              <w:rPr>
                <w:rFonts w:asciiTheme="minorHAnsi" w:hAnsiTheme="minorHAnsi" w:cstheme="minorHAnsi"/>
                <w:sz w:val="18"/>
                <w:szCs w:val="18"/>
              </w:rPr>
              <w:t xml:space="preserve">Procedura </w:t>
            </w:r>
            <w:r>
              <w:rPr>
                <w:rFonts w:asciiTheme="minorHAnsi" w:hAnsiTheme="minorHAnsi" w:cstheme="minorHAnsi"/>
                <w:sz w:val="18"/>
                <w:szCs w:val="18"/>
              </w:rPr>
              <w:t>contabile operativa</w:t>
            </w:r>
          </w:p>
        </w:tc>
        <w:tc>
          <w:tcPr>
            <w:tcW w:w="3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0630D7">
            <w:pPr>
              <w:pStyle w:val="Normale1"/>
              <w:widowControl w:val="0"/>
              <w:jc w:val="both"/>
              <w:rPr>
                <w:rFonts w:asciiTheme="minorHAnsi" w:hAnsiTheme="minorHAnsi" w:cstheme="minorHAnsi"/>
                <w:sz w:val="18"/>
              </w:rPr>
            </w:pPr>
            <w:r w:rsidRPr="00DE752D">
              <w:rPr>
                <w:rFonts w:asciiTheme="minorHAnsi" w:hAnsiTheme="minorHAnsi" w:cstheme="minorHAnsi"/>
                <w:sz w:val="18"/>
                <w:szCs w:val="18"/>
              </w:rPr>
              <w:t>Entro il 15.1.2019</w:t>
            </w:r>
          </w:p>
        </w:tc>
        <w:tc>
          <w:tcPr>
            <w:tcW w:w="77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4D3D88" w:rsidP="000630D7">
            <w:pPr>
              <w:pStyle w:val="Normale1"/>
              <w:widowControl w:val="0"/>
              <w:jc w:val="center"/>
              <w:rPr>
                <w:rFonts w:asciiTheme="minorHAnsi" w:hAnsiTheme="minorHAnsi" w:cstheme="minorHAnsi"/>
                <w:sz w:val="18"/>
              </w:rPr>
            </w:pPr>
            <w:r>
              <w:rPr>
                <w:rFonts w:asciiTheme="minorHAnsi" w:hAnsiTheme="minorHAnsi" w:cstheme="minorHAnsi"/>
                <w:sz w:val="18"/>
              </w:rPr>
              <w:t>5%</w:t>
            </w:r>
          </w:p>
        </w:tc>
        <w:tc>
          <w:tcPr>
            <w:tcW w:w="4089"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A03F76" w:rsidRPr="00DE752D" w:rsidRDefault="00A03F76" w:rsidP="000630D7">
            <w:pPr>
              <w:pStyle w:val="Normale1"/>
              <w:widowControl w:val="0"/>
              <w:jc w:val="both"/>
              <w:rPr>
                <w:rFonts w:asciiTheme="minorHAnsi" w:hAnsiTheme="minorHAnsi" w:cstheme="minorHAnsi"/>
                <w:sz w:val="18"/>
                <w:szCs w:val="18"/>
              </w:rPr>
            </w:pPr>
          </w:p>
        </w:tc>
      </w:tr>
      <w:tr w:rsidR="00AF59E8" w:rsidRPr="000D1B89" w:rsidTr="00C73266">
        <w:trPr>
          <w:trHeight w:val="454"/>
        </w:trPr>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D16F85" w:rsidRDefault="00AF59E8" w:rsidP="00AF59E8">
            <w:pPr>
              <w:pStyle w:val="Normale1"/>
              <w:widowControl w:val="0"/>
              <w:jc w:val="both"/>
              <w:rPr>
                <w:rFonts w:asciiTheme="minorHAnsi" w:hAnsiTheme="minorHAnsi" w:cstheme="minorHAnsi"/>
                <w:sz w:val="18"/>
              </w:rPr>
            </w:pPr>
            <w:r>
              <w:rPr>
                <w:rFonts w:asciiTheme="minorHAnsi" w:hAnsiTheme="minorHAnsi" w:cstheme="minorHAnsi"/>
                <w:sz w:val="18"/>
              </w:rPr>
              <w:t>4</w:t>
            </w:r>
            <w:r w:rsidRPr="00D16F85">
              <w:rPr>
                <w:rFonts w:asciiTheme="minorHAnsi" w:hAnsiTheme="minorHAnsi" w:cstheme="minorHAnsi"/>
                <w:sz w:val="18"/>
              </w:rPr>
              <w:t>.Rispondenza agli indirizzi istituzionali ed agli obiettivi del Direttore Generale</w:t>
            </w: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rPr>
                <w:rFonts w:asciiTheme="minorHAnsi" w:hAnsiTheme="minorHAnsi" w:cstheme="minorHAnsi"/>
                <w:b/>
                <w:sz w:val="18"/>
              </w:rPr>
            </w:pPr>
            <w:proofErr w:type="spellStart"/>
            <w:r w:rsidRPr="000D1B89">
              <w:rPr>
                <w:rFonts w:asciiTheme="minorHAnsi" w:hAnsiTheme="minorHAnsi" w:cstheme="minorHAnsi"/>
                <w:b/>
                <w:i/>
                <w:sz w:val="18"/>
              </w:rPr>
              <w:t>Milestone</w:t>
            </w:r>
            <w:proofErr w:type="spellEnd"/>
            <w:r w:rsidRPr="000D1B89">
              <w:rPr>
                <w:rFonts w:asciiTheme="minorHAnsi" w:hAnsiTheme="minorHAnsi" w:cstheme="minorHAnsi"/>
                <w:b/>
                <w:sz w:val="18"/>
              </w:rPr>
              <w:t xml:space="preserve"> di progetto</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widowControl w:val="0"/>
              <w:rPr>
                <w:rFonts w:asciiTheme="minorHAnsi" w:hAnsiTheme="minorHAnsi" w:cstheme="minorHAnsi"/>
                <w:sz w:val="18"/>
              </w:rPr>
            </w:pPr>
            <w:r w:rsidRPr="000D1B89">
              <w:rPr>
                <w:rFonts w:asciiTheme="minorHAnsi" w:hAnsiTheme="minorHAnsi" w:cstheme="minorHAnsi"/>
                <w:sz w:val="18"/>
              </w:rPr>
              <w:t xml:space="preserve">Termini temporali di chiusura </w:t>
            </w:r>
            <w:proofErr w:type="spellStart"/>
            <w:r w:rsidRPr="000D1B89">
              <w:rPr>
                <w:rFonts w:asciiTheme="minorHAnsi" w:hAnsiTheme="minorHAnsi" w:cstheme="minorHAnsi"/>
                <w:i/>
                <w:sz w:val="18"/>
              </w:rPr>
              <w:t>milestone</w:t>
            </w:r>
            <w:proofErr w:type="spellEnd"/>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4D3D88" w:rsidP="00AF59E8">
            <w:pPr>
              <w:pStyle w:val="Normale1"/>
              <w:widowControl w:val="0"/>
              <w:jc w:val="center"/>
              <w:rPr>
                <w:rFonts w:asciiTheme="minorHAnsi" w:hAnsiTheme="minorHAnsi" w:cstheme="minorHAnsi"/>
                <w:sz w:val="18"/>
              </w:rPr>
            </w:pPr>
            <w:r>
              <w:rPr>
                <w:rFonts w:asciiTheme="minorHAnsi" w:hAnsiTheme="minorHAnsi" w:cstheme="minorHAnsi"/>
                <w:sz w:val="18"/>
              </w:rPr>
              <w:t>10</w:t>
            </w:r>
            <w:r w:rsidR="00AF59E8">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widowControl w:val="0"/>
              <w:jc w:val="both"/>
              <w:rPr>
                <w:rFonts w:asciiTheme="minorHAnsi" w:hAnsiTheme="minorHAnsi" w:cstheme="minorHAnsi"/>
                <w:sz w:val="18"/>
              </w:rPr>
            </w:pPr>
            <w:r w:rsidRPr="000D1B89">
              <w:rPr>
                <w:rFonts w:asciiTheme="minorHAnsi" w:hAnsiTheme="minorHAnsi" w:cstheme="minorHAnsi"/>
                <w:sz w:val="18"/>
              </w:rPr>
              <w:t>Quanto di competenza della S</w:t>
            </w:r>
            <w:r>
              <w:rPr>
                <w:rFonts w:asciiTheme="minorHAnsi" w:hAnsiTheme="minorHAnsi" w:cstheme="minorHAnsi"/>
                <w:sz w:val="18"/>
              </w:rPr>
              <w:t>S</w:t>
            </w:r>
            <w:r w:rsidRPr="000D1B89">
              <w:rPr>
                <w:rFonts w:asciiTheme="minorHAnsi" w:hAnsiTheme="minorHAnsi" w:cstheme="minorHAnsi"/>
                <w:sz w:val="18"/>
              </w:rPr>
              <w:t xml:space="preserve"> </w:t>
            </w:r>
            <w:r>
              <w:rPr>
                <w:rFonts w:asciiTheme="minorHAnsi" w:hAnsiTheme="minorHAnsi" w:cstheme="minorHAnsi"/>
                <w:sz w:val="18"/>
              </w:rPr>
              <w:t xml:space="preserve">Ufficio Contabilità </w:t>
            </w:r>
            <w:r w:rsidRPr="000D1B89">
              <w:rPr>
                <w:rFonts w:asciiTheme="minorHAnsi" w:hAnsiTheme="minorHAnsi" w:cstheme="minorHAnsi"/>
                <w:sz w:val="18"/>
              </w:rPr>
              <w:t>in relazione agli obiettivi istituzionali di cui alla deliberazione del CRI del 31/05/2018 e in relazione agli obiettivi assegnati al Direttore Generale</w:t>
            </w:r>
            <w:r>
              <w:rPr>
                <w:rFonts w:asciiTheme="minorHAnsi" w:hAnsiTheme="minorHAnsi" w:cstheme="minorHAnsi"/>
                <w:sz w:val="18"/>
              </w:rPr>
              <w:t xml:space="preserve"> viene realizzato con il rispetto della pianificazione degli indicatori 2a), 2b), 2c) e 3).</w:t>
            </w:r>
          </w:p>
        </w:tc>
      </w:tr>
      <w:tr w:rsidR="00AF59E8" w:rsidRPr="000D1B89" w:rsidTr="00C73266">
        <w:trPr>
          <w:trHeight w:val="454"/>
        </w:trPr>
        <w:tc>
          <w:tcPr>
            <w:tcW w:w="35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D16F85" w:rsidRDefault="00AF59E8" w:rsidP="00AF59E8">
            <w:pPr>
              <w:pStyle w:val="Normale1"/>
              <w:widowControl w:val="0"/>
              <w:rPr>
                <w:rFonts w:asciiTheme="minorHAnsi" w:hAnsiTheme="minorHAnsi" w:cstheme="minorHAnsi"/>
                <w:sz w:val="18"/>
              </w:rPr>
            </w:pPr>
            <w:r>
              <w:rPr>
                <w:rFonts w:asciiTheme="minorHAnsi" w:hAnsiTheme="minorHAnsi" w:cstheme="minorHAnsi"/>
                <w:sz w:val="18"/>
              </w:rPr>
              <w:t>6</w:t>
            </w:r>
            <w:r w:rsidRPr="00D16F85">
              <w:rPr>
                <w:rFonts w:asciiTheme="minorHAnsi" w:hAnsiTheme="minorHAnsi" w:cstheme="minorHAnsi"/>
                <w:sz w:val="18"/>
              </w:rPr>
              <w:t>.Rispetto degli obiettivi previsti dal piano triennale per la prevenzione della corruzione e trasparenza</w:t>
            </w:r>
          </w:p>
        </w:tc>
        <w:tc>
          <w:tcPr>
            <w:tcW w:w="36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rPr>
                <w:rFonts w:asciiTheme="minorHAnsi" w:hAnsiTheme="minorHAnsi" w:cstheme="minorHAnsi"/>
                <w:sz w:val="18"/>
              </w:rPr>
            </w:pPr>
            <w:r w:rsidRPr="000D1B89">
              <w:rPr>
                <w:rFonts w:asciiTheme="minorHAnsi" w:hAnsiTheme="minorHAnsi" w:cstheme="minorHAnsi"/>
                <w:b/>
                <w:sz w:val="18"/>
              </w:rPr>
              <w:t>Contenuti nel Piano triennale</w:t>
            </w:r>
            <w:r w:rsidRPr="000D1B89">
              <w:rPr>
                <w:rFonts w:asciiTheme="minorHAnsi" w:hAnsiTheme="minorHAnsi" w:cstheme="minorHAnsi"/>
                <w:sz w:val="18"/>
              </w:rPr>
              <w:t xml:space="preserve"> per la prevenzione della corruzione e trasparenza</w:t>
            </w:r>
          </w:p>
        </w:tc>
        <w:tc>
          <w:tcPr>
            <w:tcW w:w="34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widowControl w:val="0"/>
              <w:rPr>
                <w:rFonts w:asciiTheme="minorHAnsi" w:hAnsiTheme="minorHAnsi" w:cstheme="minorHAnsi"/>
                <w:sz w:val="18"/>
              </w:rPr>
            </w:pPr>
            <w:r w:rsidRPr="000D1B89">
              <w:rPr>
                <w:rFonts w:asciiTheme="minorHAnsi" w:hAnsiTheme="minorHAnsi" w:cstheme="minorHAnsi"/>
                <w:sz w:val="18"/>
              </w:rPr>
              <w:t>Contenuti nel Piano triennale per la prevenzione della corruzione e trasparenza</w:t>
            </w:r>
          </w:p>
        </w:tc>
        <w:tc>
          <w:tcPr>
            <w:tcW w:w="77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1D0DA2" w:rsidP="00AF59E8">
            <w:pPr>
              <w:pStyle w:val="Normale1"/>
              <w:widowControl w:val="0"/>
              <w:jc w:val="center"/>
              <w:rPr>
                <w:rFonts w:asciiTheme="minorHAnsi" w:hAnsiTheme="minorHAnsi" w:cstheme="minorHAnsi"/>
                <w:sz w:val="18"/>
              </w:rPr>
            </w:pPr>
            <w:r>
              <w:rPr>
                <w:rFonts w:asciiTheme="minorHAnsi" w:hAnsiTheme="minorHAnsi" w:cstheme="minorHAnsi"/>
                <w:sz w:val="18"/>
              </w:rPr>
              <w:t>5</w:t>
            </w:r>
            <w:r w:rsidR="00AF59E8">
              <w:rPr>
                <w:rFonts w:asciiTheme="minorHAnsi" w:hAnsiTheme="minorHAnsi" w:cstheme="minorHAnsi"/>
                <w:sz w:val="18"/>
              </w:rPr>
              <w:t>%</w:t>
            </w:r>
          </w:p>
        </w:tc>
        <w:tc>
          <w:tcPr>
            <w:tcW w:w="40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rsidR="00AF59E8" w:rsidRPr="000D1B89" w:rsidRDefault="00AF59E8" w:rsidP="00AF59E8">
            <w:pPr>
              <w:pStyle w:val="Normale1"/>
              <w:widowControl w:val="0"/>
              <w:rPr>
                <w:rFonts w:asciiTheme="minorHAnsi" w:hAnsiTheme="minorHAnsi" w:cstheme="minorHAnsi"/>
                <w:sz w:val="18"/>
              </w:rPr>
            </w:pPr>
          </w:p>
        </w:tc>
      </w:tr>
    </w:tbl>
    <w:p w:rsidR="00C465D1" w:rsidRPr="000D1B89" w:rsidRDefault="00C465D1" w:rsidP="00912DD1">
      <w:pPr>
        <w:pStyle w:val="Normale1"/>
        <w:widowControl w:val="0"/>
        <w:spacing w:before="60"/>
        <w:rPr>
          <w:rFonts w:asciiTheme="minorHAnsi" w:hAnsiTheme="minorHAnsi" w:cstheme="minorHAnsi"/>
        </w:rPr>
      </w:pPr>
    </w:p>
    <w:p w:rsidR="004E4E90" w:rsidRPr="000D1B89" w:rsidRDefault="004E4E90" w:rsidP="00912DD1">
      <w:pPr>
        <w:pStyle w:val="Normale1"/>
        <w:widowControl w:val="0"/>
        <w:spacing w:before="60"/>
        <w:rPr>
          <w:rFonts w:asciiTheme="minorHAnsi" w:hAnsiTheme="minorHAnsi" w:cstheme="minorHAnsi"/>
        </w:rPr>
      </w:pPr>
      <w:r w:rsidRPr="000D1B89">
        <w:rPr>
          <w:rFonts w:asciiTheme="minorHAnsi" w:hAnsiTheme="minorHAnsi" w:cstheme="minorHAnsi"/>
        </w:rPr>
        <w:t>SUB-AREA COMPETENZE ORGANIZZATIVE (scheda di valutazione):</w:t>
      </w:r>
    </w:p>
    <w:p w:rsidR="004E4E90" w:rsidRPr="000D1B89" w:rsidRDefault="004E4E90">
      <w:pPr>
        <w:pStyle w:val="Normale1"/>
        <w:widowControl w:val="0"/>
        <w:rPr>
          <w:rFonts w:asciiTheme="minorHAnsi" w:hAnsiTheme="minorHAnsi" w:cstheme="minorHAnsi"/>
        </w:rPr>
      </w:pPr>
      <w:r w:rsidRPr="000D1B89">
        <w:rPr>
          <w:rFonts w:asciiTheme="minorHAnsi" w:hAnsiTheme="minorHAnsi" w:cstheme="minorHAnsi"/>
        </w:rPr>
        <w:t>con riferimento alle competenze organizzative verrà valutata in particolare la capacità dirigenziale di accrescere il grado di conoscenza dell’Agenzia e dei suoi processi organizzativi nonché il grado di consapevolezza ed il senso di appartenenza del personale assegnato attraverso appropriati processi di comunicazione. Gli esiti della valutazione determineranno il punteggio per il FATTORE 4 “capacità relazionali” ed il FATTORE 6 “sviluppo delle risorse umane”.</w:t>
      </w:r>
    </w:p>
    <w:p w:rsidR="006C2A84" w:rsidRPr="000D1B89" w:rsidRDefault="006C2A84" w:rsidP="006C2A84">
      <w:pPr>
        <w:pStyle w:val="Normale1"/>
        <w:rPr>
          <w:rFonts w:asciiTheme="minorHAnsi" w:hAnsiTheme="minorHAnsi" w:cstheme="minorHAnsi"/>
        </w:rPr>
      </w:pPr>
      <w:r w:rsidRPr="000D1B89">
        <w:rPr>
          <w:rFonts w:asciiTheme="minorHAnsi" w:hAnsiTheme="minorHAnsi" w:cstheme="minorHAnsi"/>
        </w:rPr>
        <w:br w:type="page"/>
      </w:r>
    </w:p>
    <w:p w:rsidR="004E4E90" w:rsidRPr="000D1B89" w:rsidRDefault="004E4E90">
      <w:pPr>
        <w:pStyle w:val="Normale1"/>
        <w:rPr>
          <w:rFonts w:asciiTheme="minorHAnsi" w:hAnsiTheme="minorHAnsi" w:cstheme="minorHAnsi"/>
        </w:rPr>
      </w:pPr>
    </w:p>
    <w:p w:rsidR="004E4E90" w:rsidRPr="000D1B89" w:rsidRDefault="004E4E90" w:rsidP="00F24B1A">
      <w:pPr>
        <w:pStyle w:val="Normale1"/>
        <w:spacing w:before="120" w:line="300" w:lineRule="exact"/>
        <w:jc w:val="both"/>
        <w:rPr>
          <w:rFonts w:asciiTheme="minorHAnsi" w:hAnsiTheme="minorHAnsi" w:cstheme="minorHAnsi"/>
          <w:color w:val="000000"/>
        </w:rPr>
      </w:pPr>
      <w:r w:rsidRPr="000D1B89">
        <w:rPr>
          <w:rFonts w:asciiTheme="minorHAnsi" w:hAnsiTheme="minorHAnsi" w:cstheme="minorHAnsi"/>
          <w:color w:val="000000"/>
        </w:rPr>
        <w:t xml:space="preserve">Gli obiettivi di risultato (obiettivi operativi) assegnati ai Responsabili di </w:t>
      </w:r>
      <w:proofErr w:type="spellStart"/>
      <w:r w:rsidRPr="000D1B89">
        <w:rPr>
          <w:rFonts w:asciiTheme="minorHAnsi" w:hAnsiTheme="minorHAnsi" w:cstheme="minorHAnsi"/>
          <w:color w:val="000000"/>
        </w:rPr>
        <w:t>CdR</w:t>
      </w:r>
      <w:proofErr w:type="spellEnd"/>
      <w:r w:rsidRPr="000D1B89">
        <w:rPr>
          <w:rFonts w:asciiTheme="minorHAnsi" w:hAnsiTheme="minorHAnsi" w:cstheme="minorHAnsi"/>
          <w:color w:val="000000"/>
        </w:rPr>
        <w:t xml:space="preserve"> di I e II livello </w:t>
      </w:r>
      <w:r w:rsidRPr="000D1B89">
        <w:rPr>
          <w:rFonts w:asciiTheme="minorHAnsi" w:hAnsiTheme="minorHAnsi" w:cstheme="minorHAnsi"/>
          <w:b/>
          <w:i/>
          <w:color w:val="000000"/>
        </w:rPr>
        <w:t xml:space="preserve">sono suscettibili di revisione in corso d’anno al fine di garantirne la piena coerenza con gli </w:t>
      </w:r>
      <w:r w:rsidR="00C465D1" w:rsidRPr="000D1B89">
        <w:rPr>
          <w:rFonts w:asciiTheme="minorHAnsi" w:hAnsiTheme="minorHAnsi" w:cstheme="minorHAnsi"/>
          <w:b/>
          <w:i/>
          <w:color w:val="000000"/>
        </w:rPr>
        <w:t>obiettivi</w:t>
      </w:r>
      <w:r w:rsidRPr="000D1B89">
        <w:rPr>
          <w:rFonts w:asciiTheme="minorHAnsi" w:hAnsiTheme="minorHAnsi" w:cstheme="minorHAnsi"/>
          <w:b/>
          <w:i/>
          <w:color w:val="000000"/>
        </w:rPr>
        <w:t xml:space="preserve"> istituzionali e gli obiettivi della Direzione generale</w:t>
      </w:r>
      <w:r w:rsidRPr="000D1B89">
        <w:rPr>
          <w:rFonts w:asciiTheme="minorHAnsi" w:hAnsiTheme="minorHAnsi" w:cstheme="minorHAnsi"/>
          <w:color w:val="000000"/>
        </w:rPr>
        <w:t>. La loro piena valorizzazione sarà confermata in fase di riesame (</w:t>
      </w:r>
      <w:proofErr w:type="spellStart"/>
      <w:r w:rsidRPr="000D1B89">
        <w:rPr>
          <w:rFonts w:asciiTheme="minorHAnsi" w:hAnsiTheme="minorHAnsi" w:cstheme="minorHAnsi"/>
          <w:color w:val="000000"/>
        </w:rPr>
        <w:t>rif.</w:t>
      </w:r>
      <w:proofErr w:type="spellEnd"/>
      <w:r w:rsidRPr="000D1B89">
        <w:rPr>
          <w:rFonts w:asciiTheme="minorHAnsi" w:hAnsiTheme="minorHAnsi" w:cstheme="minorHAnsi"/>
          <w:color w:val="000000"/>
        </w:rPr>
        <w:t xml:space="preserve"> SMVP DDG 56/14 punto 4.b lettera a).</w:t>
      </w:r>
    </w:p>
    <w:p w:rsidR="004E4E90" w:rsidRPr="000D1B89" w:rsidRDefault="004E4E90" w:rsidP="00F24B1A">
      <w:pPr>
        <w:pStyle w:val="Normale1"/>
        <w:spacing w:before="120" w:line="300" w:lineRule="exact"/>
        <w:jc w:val="both"/>
        <w:rPr>
          <w:rFonts w:asciiTheme="minorHAnsi" w:hAnsiTheme="minorHAnsi" w:cstheme="minorHAnsi"/>
          <w:color w:val="000000"/>
        </w:rPr>
      </w:pPr>
      <w:r w:rsidRPr="000D1B89">
        <w:rPr>
          <w:rFonts w:asciiTheme="minorHAnsi" w:hAnsiTheme="minorHAnsi" w:cstheme="minorHAnsi"/>
          <w:color w:val="000000"/>
        </w:rPr>
        <w:t xml:space="preserve">Nell'ottica di un percorso di gestione in qualità delle attività, per i servizi la cui attuazione è stata definita mediante procedure messe a sistema, i </w:t>
      </w:r>
      <w:r w:rsidRPr="000D1B89">
        <w:rPr>
          <w:rFonts w:asciiTheme="minorHAnsi" w:hAnsiTheme="minorHAnsi" w:cstheme="minorHAnsi"/>
          <w:b/>
          <w:color w:val="000000"/>
        </w:rPr>
        <w:t>livelli quantitativi rendicontati</w:t>
      </w:r>
      <w:r w:rsidRPr="000D1B89">
        <w:rPr>
          <w:rFonts w:asciiTheme="minorHAnsi" w:hAnsiTheme="minorHAnsi" w:cstheme="minorHAnsi"/>
          <w:color w:val="000000"/>
        </w:rPr>
        <w:t xml:space="preserve"> potranno essere </w:t>
      </w:r>
      <w:r w:rsidRPr="000D1B89">
        <w:rPr>
          <w:rFonts w:asciiTheme="minorHAnsi" w:hAnsiTheme="minorHAnsi" w:cstheme="minorHAnsi"/>
          <w:b/>
          <w:color w:val="000000"/>
        </w:rPr>
        <w:t>validati</w:t>
      </w:r>
      <w:r w:rsidRPr="000D1B89">
        <w:rPr>
          <w:rFonts w:asciiTheme="minorHAnsi" w:hAnsiTheme="minorHAnsi" w:cstheme="minorHAnsi"/>
          <w:color w:val="000000"/>
        </w:rPr>
        <w:t xml:space="preserve"> sulla base dell'esito di specifici </w:t>
      </w:r>
      <w:r w:rsidRPr="000D1B89">
        <w:rPr>
          <w:rFonts w:asciiTheme="minorHAnsi" w:hAnsiTheme="minorHAnsi" w:cstheme="minorHAnsi"/>
          <w:b/>
          <w:i/>
          <w:color w:val="000000"/>
        </w:rPr>
        <w:t>audit</w:t>
      </w:r>
      <w:r w:rsidRPr="000D1B89">
        <w:rPr>
          <w:rFonts w:asciiTheme="minorHAnsi" w:hAnsiTheme="minorHAnsi" w:cstheme="minorHAnsi"/>
          <w:color w:val="000000"/>
        </w:rPr>
        <w:t>.</w:t>
      </w:r>
    </w:p>
    <w:p w:rsidR="004E4E90" w:rsidRDefault="004E4E90" w:rsidP="00F24B1A">
      <w:pPr>
        <w:pStyle w:val="Normale1"/>
        <w:spacing w:before="120" w:line="300" w:lineRule="exact"/>
        <w:jc w:val="both"/>
        <w:rPr>
          <w:rFonts w:asciiTheme="minorHAnsi" w:hAnsiTheme="minorHAnsi" w:cstheme="minorHAnsi"/>
          <w:color w:val="000000"/>
        </w:rPr>
      </w:pPr>
      <w:r w:rsidRPr="000D1B89">
        <w:rPr>
          <w:rFonts w:asciiTheme="minorHAnsi" w:hAnsiTheme="minorHAnsi" w:cstheme="minorHAnsi"/>
          <w:color w:val="000000"/>
        </w:rPr>
        <w:t>NOTE</w:t>
      </w:r>
    </w:p>
    <w:p w:rsidR="00C43FF5" w:rsidRPr="00C43FF5" w:rsidRDefault="00C43FF5" w:rsidP="00C43FF5">
      <w:pPr>
        <w:pStyle w:val="Normale1"/>
        <w:spacing w:before="120" w:line="300" w:lineRule="exact"/>
        <w:jc w:val="both"/>
        <w:rPr>
          <w:rFonts w:asciiTheme="minorHAnsi" w:hAnsiTheme="minorHAnsi" w:cstheme="minorHAnsi"/>
          <w:color w:val="000000"/>
        </w:rPr>
      </w:pPr>
      <w:r w:rsidRPr="00C43FF5">
        <w:rPr>
          <w:rFonts w:asciiTheme="minorHAnsi" w:hAnsiTheme="minorHAnsi" w:cstheme="minorHAnsi"/>
          <w:color w:val="000000"/>
        </w:rPr>
        <w:t xml:space="preserve">Le </w:t>
      </w:r>
      <w:r>
        <w:rPr>
          <w:rFonts w:asciiTheme="minorHAnsi" w:hAnsiTheme="minorHAnsi" w:cstheme="minorHAnsi"/>
          <w:color w:val="000000"/>
        </w:rPr>
        <w:t>precisazioni</w:t>
      </w:r>
      <w:r w:rsidRPr="00C43FF5">
        <w:rPr>
          <w:rFonts w:asciiTheme="minorHAnsi" w:hAnsiTheme="minorHAnsi" w:cstheme="minorHAnsi"/>
          <w:color w:val="000000"/>
        </w:rPr>
        <w:t xml:space="preserve"> introdotte </w:t>
      </w:r>
      <w:r>
        <w:rPr>
          <w:rFonts w:asciiTheme="minorHAnsi" w:hAnsiTheme="minorHAnsi" w:cstheme="minorHAnsi"/>
          <w:color w:val="000000"/>
        </w:rPr>
        <w:t>nella scheda</w:t>
      </w:r>
      <w:r w:rsidRPr="00C43FF5">
        <w:rPr>
          <w:rFonts w:asciiTheme="minorHAnsi" w:hAnsiTheme="minorHAnsi" w:cstheme="minorHAnsi"/>
          <w:color w:val="000000"/>
        </w:rPr>
        <w:t xml:space="preserve"> sono deputate a precisare nel dettaglio gli obiettivi 2018 (ove necessarie ulteriori specificazioni rispetto alla scheda vera e propria), nonché a definire in maniera vincolante le modalità di misurazione dei relativi indicatori (onde evitare fraintendimenti e rivisitazioni da parte dell’OIV in sede di valutazione).</w:t>
      </w:r>
    </w:p>
    <w:p w:rsidR="00C43FF5" w:rsidRPr="00C43FF5" w:rsidRDefault="00C43FF5" w:rsidP="00C43FF5">
      <w:pPr>
        <w:pStyle w:val="Normale1"/>
        <w:spacing w:before="120" w:line="300" w:lineRule="exact"/>
        <w:jc w:val="both"/>
        <w:rPr>
          <w:rFonts w:asciiTheme="minorHAnsi" w:hAnsiTheme="minorHAnsi" w:cstheme="minorHAnsi"/>
          <w:color w:val="000000"/>
        </w:rPr>
      </w:pPr>
      <w:proofErr w:type="gramStart"/>
      <w:r w:rsidRPr="00C43FF5">
        <w:rPr>
          <w:rFonts w:asciiTheme="minorHAnsi" w:hAnsiTheme="minorHAnsi" w:cstheme="minorHAnsi"/>
          <w:color w:val="000000"/>
        </w:rPr>
        <w:t>E’</w:t>
      </w:r>
      <w:proofErr w:type="gramEnd"/>
      <w:r w:rsidRPr="00C43FF5">
        <w:rPr>
          <w:rFonts w:asciiTheme="minorHAnsi" w:hAnsiTheme="minorHAnsi" w:cstheme="minorHAnsi"/>
          <w:color w:val="000000"/>
        </w:rPr>
        <w:t xml:space="preserve"> necessario precisare che la finalità che si intende perseguire con l’assegnazione degli obiettivi 2018 è il miglioramento gestionale, di norma assicurato da una valutazione di prima istanza espressa dall’afferente responsabile di Struttura complessa; condizione assente per le SS direttamente dipendenti dalla Direzione che impone conseguentemente una più attenta definizione dei diversi elementi di valutazione onde evitare fraintendimenti e potenziali penalizzazioni</w:t>
      </w:r>
      <w:r>
        <w:rPr>
          <w:rFonts w:asciiTheme="minorHAnsi" w:hAnsiTheme="minorHAnsi" w:cstheme="minorHAnsi"/>
          <w:color w:val="000000"/>
        </w:rPr>
        <w:t>.</w:t>
      </w:r>
    </w:p>
    <w:p w:rsidR="004E4E90" w:rsidRPr="000D1B89" w:rsidRDefault="004E4E90" w:rsidP="00C43FF5">
      <w:pPr>
        <w:pStyle w:val="Normale1"/>
        <w:tabs>
          <w:tab w:val="left" w:pos="360"/>
        </w:tabs>
        <w:spacing w:before="120" w:line="300" w:lineRule="exact"/>
        <w:ind w:left="357"/>
        <w:jc w:val="both"/>
        <w:rPr>
          <w:rFonts w:asciiTheme="minorHAnsi" w:hAnsiTheme="minorHAnsi" w:cstheme="minorHAnsi"/>
          <w:color w:val="000000"/>
          <w:u w:val="single"/>
        </w:rPr>
      </w:pPr>
      <w:r w:rsidRPr="000D1B89">
        <w:rPr>
          <w:rFonts w:asciiTheme="minorHAnsi" w:hAnsiTheme="minorHAnsi" w:cstheme="minorHAnsi"/>
          <w:color w:val="000000"/>
          <w:u w:val="single"/>
        </w:rPr>
        <w:t>Il grado di raggiungimento dei singoli obiettivi di risultato</w:t>
      </w:r>
      <w:r w:rsidRPr="000D1B89">
        <w:rPr>
          <w:rFonts w:asciiTheme="minorHAnsi" w:hAnsiTheme="minorHAnsi" w:cstheme="minorHAnsi"/>
          <w:color w:val="000000"/>
        </w:rPr>
        <w:t xml:space="preserve"> viene ponderato sulla base del peso ad esso assegnato</w:t>
      </w:r>
      <w:r w:rsidR="00177D32">
        <w:rPr>
          <w:rFonts w:asciiTheme="minorHAnsi" w:hAnsiTheme="minorHAnsi" w:cstheme="minorHAnsi"/>
          <w:color w:val="000000"/>
        </w:rPr>
        <w:t xml:space="preserve"> (fatte salve </w:t>
      </w:r>
      <w:r w:rsidR="00C43FF5">
        <w:rPr>
          <w:rFonts w:asciiTheme="minorHAnsi" w:hAnsiTheme="minorHAnsi" w:cstheme="minorHAnsi"/>
          <w:color w:val="000000"/>
        </w:rPr>
        <w:t>indicazioni ad hoc precisate nel verbale di sottoscrizione degli obiettivi 2018)</w:t>
      </w:r>
    </w:p>
    <w:p w:rsidR="004E4E90" w:rsidRPr="000D1B89" w:rsidRDefault="004E4E90" w:rsidP="00F24B1A">
      <w:pPr>
        <w:pStyle w:val="Normale1"/>
        <w:numPr>
          <w:ilvl w:val="0"/>
          <w:numId w:val="2"/>
        </w:numPr>
        <w:tabs>
          <w:tab w:val="left" w:pos="360"/>
        </w:tabs>
        <w:spacing w:before="120" w:line="300" w:lineRule="exact"/>
        <w:ind w:left="357" w:hanging="357"/>
        <w:jc w:val="both"/>
        <w:rPr>
          <w:rFonts w:asciiTheme="minorHAnsi" w:hAnsiTheme="minorHAnsi" w:cstheme="minorHAnsi"/>
          <w:color w:val="000000"/>
        </w:rPr>
      </w:pPr>
      <w:r w:rsidRPr="000D1B89">
        <w:rPr>
          <w:rFonts w:asciiTheme="minorHAnsi" w:hAnsiTheme="minorHAnsi" w:cstheme="minorHAnsi"/>
          <w:color w:val="000000"/>
          <w:u w:val="single"/>
        </w:rPr>
        <w:t>I criteri di valutazione</w:t>
      </w:r>
      <w:r w:rsidRPr="000D1B89">
        <w:rPr>
          <w:rFonts w:asciiTheme="minorHAnsi" w:hAnsiTheme="minorHAnsi" w:cstheme="minorHAnsi"/>
          <w:color w:val="000000"/>
        </w:rPr>
        <w:t xml:space="preserve"> sono i seguenti:</w:t>
      </w:r>
    </w:p>
    <w:p w:rsidR="004E4E90" w:rsidRPr="000D1B89" w:rsidRDefault="004E4E90" w:rsidP="00F24B1A">
      <w:pPr>
        <w:pStyle w:val="Normale1"/>
        <w:spacing w:before="120" w:line="300" w:lineRule="exact"/>
        <w:ind w:left="360"/>
        <w:jc w:val="both"/>
        <w:rPr>
          <w:rFonts w:asciiTheme="minorHAnsi" w:hAnsiTheme="minorHAnsi" w:cstheme="minorHAnsi"/>
          <w:color w:val="000000"/>
        </w:rPr>
      </w:pPr>
      <w:r w:rsidRPr="000D1B89">
        <w:rPr>
          <w:rFonts w:asciiTheme="minorHAnsi" w:hAnsiTheme="minorHAnsi" w:cstheme="minorHAnsi"/>
          <w:color w:val="000000"/>
        </w:rPr>
        <w:t xml:space="preserve">- Gli obiettivi sono raggiunti al 100% se il </w:t>
      </w:r>
      <w:proofErr w:type="gramStart"/>
      <w:r w:rsidRPr="000D1B89">
        <w:rPr>
          <w:rFonts w:asciiTheme="minorHAnsi" w:hAnsiTheme="minorHAnsi" w:cstheme="minorHAnsi"/>
          <w:color w:val="000000"/>
        </w:rPr>
        <w:t>target  è</w:t>
      </w:r>
      <w:proofErr w:type="gramEnd"/>
      <w:r w:rsidRPr="000D1B89">
        <w:rPr>
          <w:rFonts w:asciiTheme="minorHAnsi" w:hAnsiTheme="minorHAnsi" w:cstheme="minorHAnsi"/>
          <w:color w:val="000000"/>
        </w:rPr>
        <w:t xml:space="preserve"> pienamente raggiunto.</w:t>
      </w:r>
    </w:p>
    <w:p w:rsidR="004E4E90" w:rsidRPr="000D1B89" w:rsidRDefault="004E4E90" w:rsidP="00F24B1A">
      <w:pPr>
        <w:pStyle w:val="Normale1"/>
        <w:spacing w:before="120" w:line="300" w:lineRule="exact"/>
        <w:ind w:left="360"/>
        <w:jc w:val="both"/>
        <w:rPr>
          <w:rFonts w:asciiTheme="minorHAnsi" w:hAnsiTheme="minorHAnsi" w:cstheme="minorHAnsi"/>
          <w:color w:val="000000"/>
        </w:rPr>
      </w:pPr>
      <w:r w:rsidRPr="000D1B89">
        <w:rPr>
          <w:rFonts w:asciiTheme="minorHAnsi" w:hAnsiTheme="minorHAnsi" w:cstheme="minorHAnsi"/>
          <w:color w:val="000000"/>
        </w:rPr>
        <w:t>- Per livelli di raggiungimento target intermedi da 50% a 99%, la percentuale di raggiungimento dell’obiettivo viene calcolata proporzionalmente.</w:t>
      </w:r>
    </w:p>
    <w:p w:rsidR="00843D14" w:rsidRPr="00843D14" w:rsidRDefault="004E4E90" w:rsidP="00843D14">
      <w:pPr>
        <w:pStyle w:val="Normale1"/>
        <w:spacing w:before="120" w:line="300" w:lineRule="exact"/>
        <w:ind w:left="360"/>
        <w:jc w:val="both"/>
        <w:rPr>
          <w:rFonts w:asciiTheme="minorHAnsi" w:hAnsiTheme="minorHAnsi" w:cstheme="minorHAnsi"/>
          <w:color w:val="000000"/>
        </w:rPr>
      </w:pPr>
      <w:r w:rsidRPr="000D1B89">
        <w:rPr>
          <w:rFonts w:asciiTheme="minorHAnsi" w:hAnsiTheme="minorHAnsi" w:cstheme="minorHAnsi"/>
          <w:color w:val="000000"/>
        </w:rPr>
        <w:t>- L’obiettivo non è raggiunto (0%) se il valore dell’indicatore è inferiore al 50% del target (modalità con la quale verrà calcolata la percentuale di raggiungimento dell'obiettivo a partire dal valore assunto dall'indicatore; se presenti più indicatori si considera la loro media).</w:t>
      </w:r>
    </w:p>
    <w:p w:rsidR="004E4E90" w:rsidRPr="000D1B89" w:rsidRDefault="004E4E90" w:rsidP="00F24B1A">
      <w:pPr>
        <w:pStyle w:val="Normale1"/>
        <w:numPr>
          <w:ilvl w:val="0"/>
          <w:numId w:val="2"/>
        </w:numPr>
        <w:tabs>
          <w:tab w:val="left" w:pos="360"/>
        </w:tabs>
        <w:spacing w:before="120" w:line="300" w:lineRule="exact"/>
        <w:ind w:left="357" w:hanging="357"/>
        <w:jc w:val="both"/>
        <w:rPr>
          <w:rFonts w:asciiTheme="minorHAnsi" w:hAnsiTheme="minorHAnsi" w:cstheme="minorHAnsi"/>
          <w:color w:val="000000"/>
        </w:rPr>
      </w:pPr>
      <w:r w:rsidRPr="000D1B89">
        <w:rPr>
          <w:rFonts w:asciiTheme="minorHAnsi" w:hAnsiTheme="minorHAnsi" w:cstheme="minorHAnsi"/>
          <w:color w:val="000000"/>
          <w:u w:val="single"/>
        </w:rPr>
        <w:t>La rendicontazione degli indicatori</w:t>
      </w:r>
      <w:r w:rsidRPr="000D1B89">
        <w:rPr>
          <w:rFonts w:asciiTheme="minorHAnsi" w:hAnsiTheme="minorHAnsi" w:cstheme="minorHAnsi"/>
          <w:color w:val="000000"/>
        </w:rPr>
        <w:t xml:space="preserve"> avviene:</w:t>
      </w:r>
    </w:p>
    <w:p w:rsidR="004E4E90" w:rsidRPr="000D1B89" w:rsidRDefault="004E4E90" w:rsidP="00F24B1A">
      <w:pPr>
        <w:pStyle w:val="Normale1"/>
        <w:spacing w:before="120" w:line="300" w:lineRule="exact"/>
        <w:ind w:firstLine="360"/>
        <w:jc w:val="both"/>
        <w:rPr>
          <w:rFonts w:asciiTheme="minorHAnsi" w:hAnsiTheme="minorHAnsi" w:cstheme="minorHAnsi"/>
          <w:color w:val="000000"/>
        </w:rPr>
      </w:pPr>
      <w:r w:rsidRPr="000D1B89">
        <w:rPr>
          <w:rFonts w:asciiTheme="minorHAnsi" w:hAnsiTheme="minorHAnsi" w:cstheme="minorHAnsi"/>
          <w:color w:val="000000"/>
        </w:rPr>
        <w:t>- per il secondo riesame entro il giorno 15 del mese di settembre;</w:t>
      </w:r>
    </w:p>
    <w:p w:rsidR="004E4E90" w:rsidRPr="000D1B89" w:rsidRDefault="004E4E90" w:rsidP="00F24B1A">
      <w:pPr>
        <w:pStyle w:val="Normale1"/>
        <w:spacing w:before="120" w:line="300" w:lineRule="exact"/>
        <w:ind w:firstLine="360"/>
        <w:jc w:val="both"/>
        <w:rPr>
          <w:rFonts w:asciiTheme="minorHAnsi" w:hAnsiTheme="minorHAnsi" w:cstheme="minorHAnsi"/>
          <w:color w:val="000000"/>
        </w:rPr>
      </w:pPr>
      <w:r w:rsidRPr="000D1B89">
        <w:rPr>
          <w:rFonts w:asciiTheme="minorHAnsi" w:hAnsiTheme="minorHAnsi" w:cstheme="minorHAnsi"/>
          <w:color w:val="000000"/>
        </w:rPr>
        <w:t>- per il consuntivo a dicembre, entro il 20 gennaio dell'anno successivo</w:t>
      </w:r>
    </w:p>
    <w:p w:rsidR="004E4E90" w:rsidRPr="000D1B89" w:rsidRDefault="004E4E90" w:rsidP="00F24B1A">
      <w:pPr>
        <w:pStyle w:val="Normale1"/>
        <w:spacing w:before="120" w:line="300" w:lineRule="exact"/>
        <w:ind w:left="360"/>
        <w:jc w:val="both"/>
        <w:rPr>
          <w:rFonts w:asciiTheme="minorHAnsi" w:hAnsiTheme="minorHAnsi" w:cstheme="minorHAnsi"/>
          <w:color w:val="000000"/>
          <w:u w:val="single"/>
        </w:rPr>
      </w:pPr>
      <w:r w:rsidRPr="000D1B89">
        <w:rPr>
          <w:rFonts w:asciiTheme="minorHAnsi" w:hAnsiTheme="minorHAnsi" w:cstheme="minorHAnsi"/>
          <w:color w:val="000000"/>
        </w:rPr>
        <w:t>Il calcolo degli indicatori viene effettuato a consuntivo 31/12 da parte della Struttura Tecnica Permanente</w:t>
      </w:r>
    </w:p>
    <w:p w:rsidR="004E4E90" w:rsidRPr="000D1B89" w:rsidRDefault="004E4E90" w:rsidP="00F24B1A">
      <w:pPr>
        <w:pStyle w:val="Normale1"/>
        <w:numPr>
          <w:ilvl w:val="0"/>
          <w:numId w:val="2"/>
        </w:numPr>
        <w:tabs>
          <w:tab w:val="left" w:pos="360"/>
        </w:tabs>
        <w:spacing w:before="120" w:line="300" w:lineRule="exact"/>
        <w:ind w:left="357" w:hanging="357"/>
        <w:jc w:val="both"/>
        <w:rPr>
          <w:rFonts w:asciiTheme="minorHAnsi" w:hAnsiTheme="minorHAnsi" w:cstheme="minorHAnsi"/>
          <w:color w:val="000000"/>
        </w:rPr>
      </w:pPr>
      <w:r w:rsidRPr="000D1B89">
        <w:rPr>
          <w:rFonts w:asciiTheme="minorHAnsi" w:hAnsiTheme="minorHAnsi" w:cstheme="minorHAnsi"/>
          <w:color w:val="000000"/>
          <w:u w:val="single"/>
        </w:rPr>
        <w:t>Gli Indicatori</w:t>
      </w:r>
      <w:r w:rsidRPr="000D1B89">
        <w:rPr>
          <w:rFonts w:asciiTheme="minorHAnsi" w:hAnsiTheme="minorHAnsi" w:cstheme="minorHAnsi"/>
          <w:color w:val="000000"/>
        </w:rPr>
        <w:t xml:space="preserve"> sono definiti come da specifiche presenti nel catalogo degli indicatori. </w:t>
      </w:r>
      <w:r w:rsidR="00C465D1" w:rsidRPr="000D1B89">
        <w:rPr>
          <w:rFonts w:asciiTheme="minorHAnsi" w:hAnsiTheme="minorHAnsi" w:cstheme="minorHAnsi"/>
          <w:color w:val="000000"/>
        </w:rPr>
        <w:t>Per le attività programmate (</w:t>
      </w:r>
      <w:proofErr w:type="spellStart"/>
      <w:r w:rsidR="00C465D1" w:rsidRPr="000D1B89">
        <w:rPr>
          <w:rFonts w:asciiTheme="minorHAnsi" w:hAnsiTheme="minorHAnsi" w:cstheme="minorHAnsi"/>
          <w:color w:val="000000"/>
        </w:rPr>
        <w:t>ProgInt</w:t>
      </w:r>
      <w:proofErr w:type="spellEnd"/>
      <w:r w:rsidR="00C465D1" w:rsidRPr="000D1B89">
        <w:rPr>
          <w:rFonts w:asciiTheme="minorHAnsi" w:hAnsiTheme="minorHAnsi" w:cstheme="minorHAnsi"/>
          <w:color w:val="000000"/>
        </w:rPr>
        <w:t>) t</w:t>
      </w:r>
      <w:r w:rsidRPr="000D1B89">
        <w:rPr>
          <w:rFonts w:asciiTheme="minorHAnsi" w:hAnsiTheme="minorHAnsi" w:cstheme="minorHAnsi"/>
          <w:color w:val="000000"/>
        </w:rPr>
        <w:t>ra gli indicatori utilizzati è individuato, per ogni servizio e risultato atteso, un indicatore chiave (KPI) rappresentativo del volume di attività al quale verranno comparate le risorse assegnate in fase di programmazione (redazione PEG).</w:t>
      </w:r>
    </w:p>
    <w:sectPr w:rsidR="004E4E90" w:rsidRPr="000D1B89" w:rsidSect="00C465D1">
      <w:headerReference w:type="default" r:id="rId7"/>
      <w:footerReference w:type="default" r:id="rId8"/>
      <w:headerReference w:type="first" r:id="rId9"/>
      <w:footerReference w:type="first" r:id="rId10"/>
      <w:pgSz w:w="16840" w:h="11907" w:orient="landscape" w:code="9"/>
      <w:pgMar w:top="1077" w:right="720" w:bottom="1077" w:left="720"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311" w:rsidRDefault="00430311" w:rsidP="004C7C78">
      <w:r>
        <w:separator/>
      </w:r>
    </w:p>
  </w:endnote>
  <w:endnote w:type="continuationSeparator" w:id="0">
    <w:p w:rsidR="00430311" w:rsidRDefault="00430311" w:rsidP="004C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E90" w:rsidRDefault="004E4E90" w:rsidP="00D531C1">
    <w:pPr>
      <w:pStyle w:val="Normale1"/>
      <w:tabs>
        <w:tab w:val="center" w:pos="4513"/>
        <w:tab w:val="right" w:pos="9026"/>
      </w:tabs>
      <w:jc w:val="center"/>
      <w:rPr>
        <w:rFonts w:ascii="Arial" w:hAnsi="Arial" w:cs="Arial"/>
        <w:color w:val="000000"/>
        <w:sz w:val="14"/>
        <w:szCs w:val="14"/>
      </w:rPr>
    </w:pPr>
    <w:r>
      <w:rPr>
        <w:rFonts w:ascii="Arial" w:hAnsi="Arial" w:cs="Arial"/>
        <w:color w:val="000000"/>
        <w:sz w:val="14"/>
        <w:szCs w:val="14"/>
      </w:rPr>
      <w:t xml:space="preserve">Pagina </w:t>
    </w:r>
    <w:r w:rsidR="00253BD6">
      <w:rPr>
        <w:rFonts w:ascii="Arial" w:hAnsi="Arial" w:cs="Arial"/>
        <w:b/>
        <w:color w:val="000000"/>
        <w:sz w:val="14"/>
        <w:szCs w:val="14"/>
      </w:rPr>
      <w:fldChar w:fldCharType="begin"/>
    </w:r>
    <w:r>
      <w:rPr>
        <w:rFonts w:ascii="Arial" w:hAnsi="Arial" w:cs="Arial"/>
        <w:b/>
        <w:color w:val="000000"/>
        <w:sz w:val="14"/>
        <w:szCs w:val="14"/>
      </w:rPr>
      <w:instrText>PAGE</w:instrText>
    </w:r>
    <w:r w:rsidR="00253BD6">
      <w:rPr>
        <w:rFonts w:ascii="Arial" w:hAnsi="Arial" w:cs="Arial"/>
        <w:b/>
        <w:color w:val="000000"/>
        <w:sz w:val="14"/>
        <w:szCs w:val="14"/>
      </w:rPr>
      <w:fldChar w:fldCharType="separate"/>
    </w:r>
    <w:r w:rsidR="004D3D88">
      <w:rPr>
        <w:rFonts w:ascii="Arial" w:hAnsi="Arial" w:cs="Arial"/>
        <w:b/>
        <w:noProof/>
        <w:color w:val="000000"/>
        <w:sz w:val="14"/>
        <w:szCs w:val="14"/>
      </w:rPr>
      <w:t>2</w:t>
    </w:r>
    <w:r w:rsidR="00253BD6">
      <w:rPr>
        <w:rFonts w:ascii="Arial" w:hAnsi="Arial" w:cs="Arial"/>
        <w:b/>
        <w:color w:val="000000"/>
        <w:sz w:val="14"/>
        <w:szCs w:val="14"/>
      </w:rPr>
      <w:fldChar w:fldCharType="end"/>
    </w:r>
    <w:r>
      <w:rPr>
        <w:rFonts w:ascii="Arial" w:hAnsi="Arial" w:cs="Arial"/>
        <w:color w:val="000000"/>
        <w:sz w:val="14"/>
        <w:szCs w:val="14"/>
      </w:rPr>
      <w:t xml:space="preserve"> di </w:t>
    </w:r>
    <w:r w:rsidR="00253BD6">
      <w:rPr>
        <w:rFonts w:ascii="Arial" w:hAnsi="Arial" w:cs="Arial"/>
        <w:b/>
        <w:color w:val="000000"/>
        <w:sz w:val="14"/>
        <w:szCs w:val="14"/>
      </w:rPr>
      <w:fldChar w:fldCharType="begin"/>
    </w:r>
    <w:r>
      <w:rPr>
        <w:rFonts w:ascii="Arial" w:hAnsi="Arial" w:cs="Arial"/>
        <w:b/>
        <w:color w:val="000000"/>
        <w:sz w:val="14"/>
        <w:szCs w:val="14"/>
      </w:rPr>
      <w:instrText>NUMPAGES</w:instrText>
    </w:r>
    <w:r w:rsidR="00253BD6">
      <w:rPr>
        <w:rFonts w:ascii="Arial" w:hAnsi="Arial" w:cs="Arial"/>
        <w:b/>
        <w:color w:val="000000"/>
        <w:sz w:val="14"/>
        <w:szCs w:val="14"/>
      </w:rPr>
      <w:fldChar w:fldCharType="separate"/>
    </w:r>
    <w:r w:rsidR="004D3D88">
      <w:rPr>
        <w:rFonts w:ascii="Arial" w:hAnsi="Arial" w:cs="Arial"/>
        <w:b/>
        <w:noProof/>
        <w:color w:val="000000"/>
        <w:sz w:val="14"/>
        <w:szCs w:val="14"/>
      </w:rPr>
      <w:t>3</w:t>
    </w:r>
    <w:r w:rsidR="00253BD6">
      <w:rPr>
        <w:rFonts w:ascii="Arial" w:hAnsi="Arial" w:cs="Arial"/>
        <w:b/>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E90" w:rsidRDefault="004E4E90">
    <w:pPr>
      <w:pStyle w:val="Normale1"/>
      <w:tabs>
        <w:tab w:val="center" w:pos="4513"/>
        <w:tab w:val="right" w:pos="9026"/>
      </w:tabs>
      <w:jc w:val="center"/>
      <w:rPr>
        <w:rFonts w:ascii="Arial" w:hAnsi="Arial" w:cs="Arial"/>
        <w:color w:val="000000"/>
        <w:sz w:val="14"/>
        <w:szCs w:val="14"/>
      </w:rPr>
    </w:pPr>
    <w:r>
      <w:rPr>
        <w:rFonts w:ascii="Arial" w:hAnsi="Arial" w:cs="Arial"/>
        <w:color w:val="000000"/>
        <w:sz w:val="14"/>
        <w:szCs w:val="14"/>
      </w:rPr>
      <w:t xml:space="preserve">Pagina </w:t>
    </w:r>
    <w:r w:rsidR="00253BD6">
      <w:rPr>
        <w:rFonts w:ascii="Arial" w:hAnsi="Arial" w:cs="Arial"/>
        <w:b/>
        <w:color w:val="000000"/>
        <w:sz w:val="14"/>
        <w:szCs w:val="14"/>
      </w:rPr>
      <w:fldChar w:fldCharType="begin"/>
    </w:r>
    <w:r>
      <w:rPr>
        <w:rFonts w:ascii="Arial" w:hAnsi="Arial" w:cs="Arial"/>
        <w:b/>
        <w:color w:val="000000"/>
        <w:sz w:val="14"/>
        <w:szCs w:val="14"/>
      </w:rPr>
      <w:instrText>PAGE</w:instrText>
    </w:r>
    <w:r w:rsidR="00253BD6">
      <w:rPr>
        <w:rFonts w:ascii="Arial" w:hAnsi="Arial" w:cs="Arial"/>
        <w:b/>
        <w:color w:val="000000"/>
        <w:sz w:val="14"/>
        <w:szCs w:val="14"/>
      </w:rPr>
      <w:fldChar w:fldCharType="separate"/>
    </w:r>
    <w:r w:rsidR="0033138D">
      <w:rPr>
        <w:rFonts w:ascii="Arial" w:hAnsi="Arial" w:cs="Arial"/>
        <w:b/>
        <w:noProof/>
        <w:color w:val="000000"/>
        <w:sz w:val="14"/>
        <w:szCs w:val="14"/>
      </w:rPr>
      <w:t>1</w:t>
    </w:r>
    <w:r w:rsidR="00253BD6">
      <w:rPr>
        <w:rFonts w:ascii="Arial" w:hAnsi="Arial" w:cs="Arial"/>
        <w:b/>
        <w:color w:val="000000"/>
        <w:sz w:val="14"/>
        <w:szCs w:val="14"/>
      </w:rPr>
      <w:fldChar w:fldCharType="end"/>
    </w:r>
    <w:r>
      <w:rPr>
        <w:rFonts w:ascii="Arial" w:hAnsi="Arial" w:cs="Arial"/>
        <w:color w:val="000000"/>
        <w:sz w:val="14"/>
        <w:szCs w:val="14"/>
      </w:rPr>
      <w:t xml:space="preserve"> di </w:t>
    </w:r>
    <w:r w:rsidR="00253BD6">
      <w:rPr>
        <w:rFonts w:ascii="Arial" w:hAnsi="Arial" w:cs="Arial"/>
        <w:b/>
        <w:color w:val="000000"/>
        <w:sz w:val="14"/>
        <w:szCs w:val="14"/>
      </w:rPr>
      <w:fldChar w:fldCharType="begin"/>
    </w:r>
    <w:r>
      <w:rPr>
        <w:rFonts w:ascii="Arial" w:hAnsi="Arial" w:cs="Arial"/>
        <w:b/>
        <w:color w:val="000000"/>
        <w:sz w:val="14"/>
        <w:szCs w:val="14"/>
      </w:rPr>
      <w:instrText>NUMPAGES</w:instrText>
    </w:r>
    <w:r w:rsidR="00253BD6">
      <w:rPr>
        <w:rFonts w:ascii="Arial" w:hAnsi="Arial" w:cs="Arial"/>
        <w:b/>
        <w:color w:val="000000"/>
        <w:sz w:val="14"/>
        <w:szCs w:val="14"/>
      </w:rPr>
      <w:fldChar w:fldCharType="separate"/>
    </w:r>
    <w:r w:rsidR="0033138D">
      <w:rPr>
        <w:rFonts w:ascii="Arial" w:hAnsi="Arial" w:cs="Arial"/>
        <w:b/>
        <w:noProof/>
        <w:color w:val="000000"/>
        <w:sz w:val="14"/>
        <w:szCs w:val="14"/>
      </w:rPr>
      <w:t>3</w:t>
    </w:r>
    <w:r w:rsidR="00253BD6">
      <w:rPr>
        <w:rFonts w:ascii="Arial" w:hAnsi="Arial" w:cs="Arial"/>
        <w:b/>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311" w:rsidRDefault="00430311" w:rsidP="004C7C78">
      <w:r>
        <w:separator/>
      </w:r>
    </w:p>
  </w:footnote>
  <w:footnote w:type="continuationSeparator" w:id="0">
    <w:p w:rsidR="00430311" w:rsidRDefault="00430311" w:rsidP="004C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D3F" w:rsidRPr="000D1B89" w:rsidRDefault="00EB0D3F" w:rsidP="00EB0D3F">
    <w:pPr>
      <w:pStyle w:val="Normale1"/>
      <w:tabs>
        <w:tab w:val="center" w:pos="4513"/>
        <w:tab w:val="right" w:pos="9026"/>
      </w:tabs>
      <w:jc w:val="center"/>
      <w:rPr>
        <w:rFonts w:asciiTheme="minorHAnsi" w:hAnsiTheme="minorHAnsi" w:cstheme="minorHAnsi"/>
        <w:color w:val="0000FF"/>
      </w:rPr>
    </w:pPr>
    <w:r w:rsidRPr="000D1B89">
      <w:rPr>
        <w:rFonts w:asciiTheme="minorHAnsi" w:hAnsiTheme="minorHAnsi" w:cstheme="minorHAnsi"/>
        <w:color w:val="0000FF"/>
      </w:rPr>
      <w:t>Scheda Obiettivi 2018</w:t>
    </w:r>
  </w:p>
  <w:p w:rsidR="00EB0D3F" w:rsidRPr="000D1B89" w:rsidRDefault="00EB0D3F" w:rsidP="00EB0D3F">
    <w:pPr>
      <w:pStyle w:val="Normale1"/>
      <w:tabs>
        <w:tab w:val="center" w:pos="4513"/>
        <w:tab w:val="right" w:pos="9026"/>
      </w:tabs>
      <w:jc w:val="center"/>
      <w:rPr>
        <w:rFonts w:asciiTheme="minorHAnsi" w:hAnsiTheme="minorHAnsi" w:cstheme="minorHAnsi"/>
        <w:color w:val="000000"/>
      </w:rPr>
    </w:pPr>
    <w:r w:rsidRPr="000D1B89">
      <w:rPr>
        <w:rFonts w:asciiTheme="minorHAnsi" w:hAnsiTheme="minorHAnsi" w:cstheme="minorHAnsi"/>
        <w:b/>
        <w:color w:val="000000"/>
      </w:rPr>
      <w:t>Dirigente r</w:t>
    </w:r>
    <w:r w:rsidR="00FF628B">
      <w:rPr>
        <w:rFonts w:asciiTheme="minorHAnsi" w:hAnsiTheme="minorHAnsi" w:cstheme="minorHAnsi"/>
        <w:b/>
      </w:rPr>
      <w:t xml:space="preserve">esponsabile </w:t>
    </w:r>
    <w:r w:rsidR="00991BC1">
      <w:rPr>
        <w:rFonts w:asciiTheme="minorHAnsi" w:hAnsiTheme="minorHAnsi" w:cstheme="minorHAnsi"/>
        <w:b/>
      </w:rPr>
      <w:t>Nicola Santovito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04"/>
      <w:gridCol w:w="5152"/>
    </w:tblGrid>
    <w:tr w:rsidR="003327E3" w:rsidTr="003B7661">
      <w:tc>
        <w:tcPr>
          <w:tcW w:w="5205" w:type="dxa"/>
          <w:vAlign w:val="center"/>
        </w:tcPr>
        <w:p w:rsidR="003327E3" w:rsidRDefault="003327E3" w:rsidP="003B7661">
          <w:pPr>
            <w:pStyle w:val="Normale1"/>
            <w:widowControl w:val="0"/>
            <w:spacing w:line="276" w:lineRule="auto"/>
            <w:rPr>
              <w:rFonts w:ascii="Arial" w:hAnsi="Arial" w:cs="Arial"/>
              <w:color w:val="000000"/>
              <w:sz w:val="14"/>
              <w:szCs w:val="14"/>
            </w:rPr>
          </w:pPr>
          <w:r>
            <w:rPr>
              <w:rFonts w:ascii="Arial" w:hAnsi="Arial" w:cs="Arial"/>
              <w:noProof/>
              <w:color w:val="000000"/>
              <w:sz w:val="14"/>
              <w:szCs w:val="14"/>
              <w:lang w:val="en-GB" w:eastAsia="zh-CN"/>
            </w:rPr>
            <w:drawing>
              <wp:anchor distT="0" distB="0" distL="114300" distR="114300" simplePos="0" relativeHeight="251658240" behindDoc="0" locked="0" layoutInCell="1" allowOverlap="1">
                <wp:simplePos x="409575" y="361950"/>
                <wp:positionH relativeFrom="margin">
                  <wp:align>left</wp:align>
                </wp:positionH>
                <wp:positionV relativeFrom="margin">
                  <wp:align>center</wp:align>
                </wp:positionV>
                <wp:extent cx="1257300" cy="666750"/>
                <wp:effectExtent l="19050" t="0" r="0" b="0"/>
                <wp:wrapSquare wrapText="bothSides"/>
                <wp:docPr id="1" name="Immagine 1" descr="Ar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aLogo"/>
                        <pic:cNvPicPr>
                          <a:picLocks noChangeAspect="1" noChangeArrowheads="1"/>
                        </pic:cNvPicPr>
                      </pic:nvPicPr>
                      <pic:blipFill>
                        <a:blip r:embed="rId1"/>
                        <a:srcRect/>
                        <a:stretch>
                          <a:fillRect/>
                        </a:stretch>
                      </pic:blipFill>
                      <pic:spPr bwMode="auto">
                        <a:xfrm>
                          <a:off x="0" y="0"/>
                          <a:ext cx="1257300" cy="666750"/>
                        </a:xfrm>
                        <a:prstGeom prst="rect">
                          <a:avLst/>
                        </a:prstGeom>
                        <a:noFill/>
                        <a:ln w="9525">
                          <a:noFill/>
                          <a:miter lim="800000"/>
                          <a:headEnd/>
                          <a:tailEnd/>
                        </a:ln>
                      </pic:spPr>
                    </pic:pic>
                  </a:graphicData>
                </a:graphic>
              </wp:anchor>
            </w:drawing>
          </w:r>
        </w:p>
      </w:tc>
      <w:tc>
        <w:tcPr>
          <w:tcW w:w="5205" w:type="dxa"/>
        </w:tcPr>
        <w:p w:rsidR="003327E3" w:rsidRDefault="003327E3">
          <w:pPr>
            <w:pStyle w:val="Normale1"/>
            <w:widowControl w:val="0"/>
            <w:spacing w:line="276" w:lineRule="auto"/>
            <w:rPr>
              <w:rFonts w:ascii="Arial" w:hAnsi="Arial" w:cs="Arial"/>
              <w:color w:val="000000"/>
              <w:sz w:val="14"/>
              <w:szCs w:val="14"/>
            </w:rPr>
          </w:pPr>
        </w:p>
      </w:tc>
      <w:tc>
        <w:tcPr>
          <w:tcW w:w="5206" w:type="dxa"/>
        </w:tcPr>
        <w:p w:rsidR="003327E3" w:rsidRDefault="003B7661">
          <w:pPr>
            <w:pStyle w:val="Normale1"/>
            <w:widowControl w:val="0"/>
            <w:spacing w:line="276" w:lineRule="auto"/>
            <w:rPr>
              <w:rFonts w:ascii="Arial" w:hAnsi="Arial" w:cs="Arial"/>
              <w:color w:val="000000"/>
              <w:sz w:val="14"/>
              <w:szCs w:val="14"/>
            </w:rPr>
          </w:pPr>
          <w:r>
            <w:rPr>
              <w:noProof/>
              <w:lang w:val="en-GB" w:eastAsia="zh-CN"/>
            </w:rPr>
            <w:drawing>
              <wp:anchor distT="0" distB="0" distL="114300" distR="114300" simplePos="0" relativeHeight="251659264" behindDoc="0" locked="0" layoutInCell="1" allowOverlap="1">
                <wp:simplePos x="7086600" y="361950"/>
                <wp:positionH relativeFrom="margin">
                  <wp:align>right</wp:align>
                </wp:positionH>
                <wp:positionV relativeFrom="margin">
                  <wp:align>center</wp:align>
                </wp:positionV>
                <wp:extent cx="1438275" cy="895350"/>
                <wp:effectExtent l="19050" t="0" r="9525" b="0"/>
                <wp:wrapSquare wrapText="bothSides"/>
                <wp:docPr id="2" name="Immagine 1" descr="logo_SNP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NPA_COL"/>
                        <pic:cNvPicPr>
                          <a:picLocks noChangeAspect="1" noChangeArrowheads="1"/>
                        </pic:cNvPicPr>
                      </pic:nvPicPr>
                      <pic:blipFill>
                        <a:blip r:embed="rId2"/>
                        <a:srcRect/>
                        <a:stretch>
                          <a:fillRect/>
                        </a:stretch>
                      </pic:blipFill>
                      <pic:spPr bwMode="auto">
                        <a:xfrm>
                          <a:off x="0" y="0"/>
                          <a:ext cx="1438275" cy="895350"/>
                        </a:xfrm>
                        <a:prstGeom prst="rect">
                          <a:avLst/>
                        </a:prstGeom>
                        <a:noFill/>
                        <a:ln w="9525">
                          <a:noFill/>
                          <a:miter lim="800000"/>
                          <a:headEnd/>
                          <a:tailEnd/>
                        </a:ln>
                      </pic:spPr>
                    </pic:pic>
                  </a:graphicData>
                </a:graphic>
              </wp:anchor>
            </w:drawing>
          </w:r>
        </w:p>
      </w:tc>
    </w:tr>
  </w:tbl>
  <w:p w:rsidR="004E4E90" w:rsidRDefault="004E4E90">
    <w:pPr>
      <w:pStyle w:val="Normale1"/>
      <w:widowControl w:val="0"/>
      <w:spacing w:line="276" w:lineRule="auto"/>
      <w:rPr>
        <w:rFonts w:ascii="Arial" w:hAnsi="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04B3F"/>
    <w:multiLevelType w:val="multilevel"/>
    <w:tmpl w:val="FFFFFFFF"/>
    <w:lvl w:ilvl="0">
      <w:start w:val="1"/>
      <w:numFmt w:val="decimal"/>
      <w:lvlText w:val="%1."/>
      <w:lvlJc w:val="left"/>
      <w:pPr>
        <w:ind w:left="720" w:hanging="360"/>
      </w:pPr>
      <w:rPr>
        <w:rFonts w:ascii="Arial" w:eastAsia="Times New Roman" w:hAnsi="Arial" w:cs="Arial"/>
        <w:sz w:val="18"/>
        <w:szCs w:val="1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73211A1F"/>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8"/>
    <w:rsid w:val="00034149"/>
    <w:rsid w:val="00036845"/>
    <w:rsid w:val="00036FFD"/>
    <w:rsid w:val="00067099"/>
    <w:rsid w:val="000753FB"/>
    <w:rsid w:val="000839BE"/>
    <w:rsid w:val="000D1B89"/>
    <w:rsid w:val="000F0ED9"/>
    <w:rsid w:val="00124132"/>
    <w:rsid w:val="00125985"/>
    <w:rsid w:val="0013670E"/>
    <w:rsid w:val="00177D32"/>
    <w:rsid w:val="001D0DA2"/>
    <w:rsid w:val="00207899"/>
    <w:rsid w:val="00210E26"/>
    <w:rsid w:val="00232DB9"/>
    <w:rsid w:val="00253BD6"/>
    <w:rsid w:val="002B7491"/>
    <w:rsid w:val="002F1F61"/>
    <w:rsid w:val="0030495D"/>
    <w:rsid w:val="00311279"/>
    <w:rsid w:val="0033138D"/>
    <w:rsid w:val="003327E3"/>
    <w:rsid w:val="00337AA4"/>
    <w:rsid w:val="003A0843"/>
    <w:rsid w:val="003B7661"/>
    <w:rsid w:val="003C4DC9"/>
    <w:rsid w:val="003F69D4"/>
    <w:rsid w:val="00430311"/>
    <w:rsid w:val="004C7C78"/>
    <w:rsid w:val="004D3D88"/>
    <w:rsid w:val="004E4E90"/>
    <w:rsid w:val="00534377"/>
    <w:rsid w:val="00555C22"/>
    <w:rsid w:val="00583858"/>
    <w:rsid w:val="005B06CE"/>
    <w:rsid w:val="005F5E33"/>
    <w:rsid w:val="00614B5D"/>
    <w:rsid w:val="00636B8A"/>
    <w:rsid w:val="00687F23"/>
    <w:rsid w:val="006A332B"/>
    <w:rsid w:val="006B1B30"/>
    <w:rsid w:val="006C2A84"/>
    <w:rsid w:val="00722614"/>
    <w:rsid w:val="00740F76"/>
    <w:rsid w:val="007F4247"/>
    <w:rsid w:val="00804AB3"/>
    <w:rsid w:val="00843D14"/>
    <w:rsid w:val="00847644"/>
    <w:rsid w:val="00865504"/>
    <w:rsid w:val="008E04B6"/>
    <w:rsid w:val="008E3283"/>
    <w:rsid w:val="008F3EE4"/>
    <w:rsid w:val="00912DD1"/>
    <w:rsid w:val="00991BC1"/>
    <w:rsid w:val="009E382C"/>
    <w:rsid w:val="00A03F76"/>
    <w:rsid w:val="00A16DB9"/>
    <w:rsid w:val="00A306EB"/>
    <w:rsid w:val="00A60CB9"/>
    <w:rsid w:val="00A96028"/>
    <w:rsid w:val="00AC2871"/>
    <w:rsid w:val="00AF59E8"/>
    <w:rsid w:val="00BE60CE"/>
    <w:rsid w:val="00BE64C7"/>
    <w:rsid w:val="00C43FF5"/>
    <w:rsid w:val="00C465D1"/>
    <w:rsid w:val="00C62823"/>
    <w:rsid w:val="00C73266"/>
    <w:rsid w:val="00CC1669"/>
    <w:rsid w:val="00CC7D64"/>
    <w:rsid w:val="00CD1ADE"/>
    <w:rsid w:val="00CF069B"/>
    <w:rsid w:val="00D16F85"/>
    <w:rsid w:val="00D339D6"/>
    <w:rsid w:val="00D531C1"/>
    <w:rsid w:val="00D63EAE"/>
    <w:rsid w:val="00D7258A"/>
    <w:rsid w:val="00DB6ED2"/>
    <w:rsid w:val="00E16BBB"/>
    <w:rsid w:val="00E7146A"/>
    <w:rsid w:val="00E76E7F"/>
    <w:rsid w:val="00E82F93"/>
    <w:rsid w:val="00E87C37"/>
    <w:rsid w:val="00EB0D3F"/>
    <w:rsid w:val="00EE01E0"/>
    <w:rsid w:val="00EF12A0"/>
    <w:rsid w:val="00F24B1A"/>
    <w:rsid w:val="00F448AB"/>
    <w:rsid w:val="00F63728"/>
    <w:rsid w:val="00F84369"/>
    <w:rsid w:val="00FC70E4"/>
    <w:rsid w:val="00FE4282"/>
    <w:rsid w:val="00FF62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D90FC"/>
  <w15:docId w15:val="{073C0DE7-707C-43DE-8ECF-56884BF8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7644"/>
    <w:rPr>
      <w:sz w:val="20"/>
      <w:szCs w:val="20"/>
    </w:rPr>
  </w:style>
  <w:style w:type="paragraph" w:styleId="Titolo1">
    <w:name w:val="heading 1"/>
    <w:basedOn w:val="Normale1"/>
    <w:next w:val="Normale1"/>
    <w:link w:val="Titolo1Carattere"/>
    <w:uiPriority w:val="99"/>
    <w:qFormat/>
    <w:rsid w:val="004C7C78"/>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4C7C78"/>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4C7C78"/>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4C7C78"/>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4C7C78"/>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4C7C78"/>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62823"/>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C62823"/>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62823"/>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62823"/>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62823"/>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C62823"/>
    <w:rPr>
      <w:rFonts w:ascii="Calibri" w:hAnsi="Calibri" w:cs="Times New Roman"/>
      <w:b/>
      <w:bCs/>
    </w:rPr>
  </w:style>
  <w:style w:type="paragraph" w:customStyle="1" w:styleId="Normale1">
    <w:name w:val="Normale1"/>
    <w:uiPriority w:val="99"/>
    <w:rsid w:val="004C7C78"/>
    <w:rPr>
      <w:sz w:val="20"/>
      <w:szCs w:val="20"/>
    </w:rPr>
  </w:style>
  <w:style w:type="paragraph" w:styleId="Titolo">
    <w:name w:val="Title"/>
    <w:basedOn w:val="Normale1"/>
    <w:next w:val="Normale1"/>
    <w:link w:val="TitoloCarattere"/>
    <w:uiPriority w:val="99"/>
    <w:qFormat/>
    <w:rsid w:val="004C7C78"/>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C62823"/>
    <w:rPr>
      <w:rFonts w:ascii="Cambria" w:hAnsi="Cambria" w:cs="Times New Roman"/>
      <w:b/>
      <w:bCs/>
      <w:kern w:val="28"/>
      <w:sz w:val="32"/>
      <w:szCs w:val="32"/>
    </w:rPr>
  </w:style>
  <w:style w:type="paragraph" w:styleId="Sottotitolo">
    <w:name w:val="Subtitle"/>
    <w:basedOn w:val="Normale1"/>
    <w:next w:val="Normale1"/>
    <w:link w:val="SottotitoloCarattere"/>
    <w:uiPriority w:val="99"/>
    <w:qFormat/>
    <w:rsid w:val="004C7C78"/>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C62823"/>
    <w:rPr>
      <w:rFonts w:ascii="Cambria" w:hAnsi="Cambria" w:cs="Times New Roman"/>
      <w:sz w:val="24"/>
      <w:szCs w:val="24"/>
    </w:rPr>
  </w:style>
  <w:style w:type="table" w:customStyle="1" w:styleId="Stile">
    <w:name w:val="Stile"/>
    <w:uiPriority w:val="99"/>
    <w:rsid w:val="004C7C78"/>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ile1">
    <w:name w:val="Stile1"/>
    <w:uiPriority w:val="99"/>
    <w:rsid w:val="004C7C78"/>
    <w:rPr>
      <w:sz w:val="20"/>
      <w:szCs w:val="20"/>
    </w:rPr>
    <w:tblPr>
      <w:tblStyleRowBandSize w:val="1"/>
      <w:tblStyleColBandSize w:val="1"/>
      <w:tblInd w:w="0" w:type="dxa"/>
      <w:tblCellMar>
        <w:top w:w="0" w:type="dxa"/>
        <w:left w:w="108" w:type="dxa"/>
        <w:bottom w:w="0" w:type="dxa"/>
        <w:right w:w="108" w:type="dxa"/>
      </w:tblCellMar>
    </w:tblPr>
  </w:style>
  <w:style w:type="paragraph" w:styleId="Intestazione">
    <w:name w:val="header"/>
    <w:basedOn w:val="Normale"/>
    <w:link w:val="IntestazioneCarattere"/>
    <w:uiPriority w:val="99"/>
    <w:rsid w:val="002F1F6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C62823"/>
    <w:rPr>
      <w:rFonts w:cs="Times New Roman"/>
      <w:sz w:val="20"/>
      <w:szCs w:val="20"/>
    </w:rPr>
  </w:style>
  <w:style w:type="paragraph" w:styleId="Pidipagina">
    <w:name w:val="footer"/>
    <w:basedOn w:val="Normale"/>
    <w:link w:val="PidipaginaCarattere"/>
    <w:uiPriority w:val="99"/>
    <w:rsid w:val="002F1F61"/>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62823"/>
    <w:rPr>
      <w:rFonts w:cs="Times New Roman"/>
      <w:sz w:val="20"/>
      <w:szCs w:val="20"/>
    </w:rPr>
  </w:style>
  <w:style w:type="character" w:customStyle="1" w:styleId="WW8Num1z6">
    <w:name w:val="WW8Num1z6"/>
    <w:rsid w:val="00912DD1"/>
  </w:style>
  <w:style w:type="paragraph" w:customStyle="1" w:styleId="Contenutotabella">
    <w:name w:val="Contenuto tabella"/>
    <w:basedOn w:val="Normale"/>
    <w:rsid w:val="00912DD1"/>
    <w:pPr>
      <w:suppressLineNumbers/>
      <w:suppressAutoHyphens/>
    </w:pPr>
    <w:rPr>
      <w:rFonts w:ascii="Times New Roman" w:eastAsia="Times New Roman" w:hAnsi="Times New Roman" w:cs="Times New Roman"/>
      <w:lang w:eastAsia="zh-CN"/>
    </w:rPr>
  </w:style>
  <w:style w:type="table" w:styleId="Grigliatabella">
    <w:name w:val="Table Grid"/>
    <w:basedOn w:val="Tabellanormale"/>
    <w:locked/>
    <w:rsid w:val="00EB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B76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 Mauro</dc:creator>
  <cp:keywords/>
  <dc:description/>
  <cp:lastModifiedBy>Porta Mauro</cp:lastModifiedBy>
  <cp:revision>2</cp:revision>
  <cp:lastPrinted>2018-06-22T10:43:00Z</cp:lastPrinted>
  <dcterms:created xsi:type="dcterms:W3CDTF">2018-07-27T09:45:00Z</dcterms:created>
  <dcterms:modified xsi:type="dcterms:W3CDTF">2018-07-27T09:45:00Z</dcterms:modified>
</cp:coreProperties>
</file>