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77777777"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2FB8E12B"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per l’affidamento della fornitura </w:t>
            </w:r>
            <w:r>
              <w:rPr>
                <w:rFonts w:ascii="Arial" w:hAnsi="Arial" w:cs="Arial"/>
                <w:sz w:val="20"/>
                <w:szCs w:val="20"/>
              </w:rPr>
              <w:t>a n.</w:t>
            </w:r>
            <w:r w:rsidR="00CC00CA">
              <w:rPr>
                <w:rFonts w:ascii="Arial" w:hAnsi="Arial" w:cs="Arial"/>
                <w:sz w:val="20"/>
                <w:szCs w:val="20"/>
              </w:rPr>
              <w:t>2</w:t>
            </w:r>
            <w:r>
              <w:rPr>
                <w:rFonts w:ascii="Arial" w:hAnsi="Arial" w:cs="Arial"/>
                <w:sz w:val="20"/>
                <w:szCs w:val="20"/>
              </w:rPr>
              <w:t xml:space="preserve"> lotti </w:t>
            </w:r>
            <w:r w:rsidRPr="001D768B">
              <w:rPr>
                <w:rFonts w:ascii="Arial" w:hAnsi="Arial" w:cs="Arial"/>
                <w:sz w:val="20"/>
                <w:szCs w:val="20"/>
              </w:rPr>
              <w:t xml:space="preserve">di strumentazione tecnico-scientifica da destinare ai laboratori di Arpa Piemonte </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2B065EED" w14:textId="28CE0BD7" w:rsidR="00DD4C02" w:rsidRPr="001D768B" w:rsidRDefault="00DD4C02" w:rsidP="000E2795">
            <w:pPr>
              <w:rPr>
                <w:rFonts w:ascii="Arial" w:eastAsia="CourierNew" w:hAnsi="Arial" w:cs="Arial"/>
                <w:sz w:val="20"/>
                <w:szCs w:val="20"/>
              </w:rPr>
            </w:pPr>
            <w:r w:rsidRPr="001D768B">
              <w:rPr>
                <w:rFonts w:ascii="Arial" w:hAnsi="Arial" w:cs="Arial"/>
                <w:color w:val="000000"/>
                <w:sz w:val="20"/>
                <w:szCs w:val="20"/>
              </w:rPr>
              <w:t xml:space="preserve">Lotto1 CIG </w:t>
            </w:r>
            <w:r w:rsidR="00575A35">
              <w:rPr>
                <w:rFonts w:ascii="Arial" w:hAnsi="Arial" w:cs="Arial"/>
                <w:color w:val="000000"/>
                <w:sz w:val="20"/>
                <w:szCs w:val="20"/>
              </w:rPr>
              <w:t>88265435B4</w:t>
            </w:r>
          </w:p>
          <w:p w14:paraId="2E74673E" w14:textId="3B4F03C9" w:rsidR="00DD4C02" w:rsidRPr="001D768B" w:rsidRDefault="00DD4C02" w:rsidP="000E2795">
            <w:pPr>
              <w:rPr>
                <w:rFonts w:ascii="Arial" w:eastAsia="CourierNew" w:hAnsi="Arial" w:cs="Arial"/>
                <w:sz w:val="20"/>
                <w:szCs w:val="20"/>
              </w:rPr>
            </w:pPr>
            <w:r w:rsidRPr="001D768B">
              <w:rPr>
                <w:rFonts w:ascii="Arial" w:eastAsia="CourierNew" w:hAnsi="Arial" w:cs="Arial"/>
                <w:sz w:val="20"/>
                <w:szCs w:val="20"/>
              </w:rPr>
              <w:t xml:space="preserve">Lotto2 </w:t>
            </w:r>
            <w:r>
              <w:rPr>
                <w:rFonts w:ascii="Arial" w:eastAsia="CourierNew" w:hAnsi="Arial" w:cs="Arial"/>
                <w:sz w:val="20"/>
                <w:szCs w:val="20"/>
              </w:rPr>
              <w:t xml:space="preserve">CIG </w:t>
            </w:r>
            <w:r w:rsidR="00575A35">
              <w:rPr>
                <w:rFonts w:ascii="Arial" w:eastAsia="CourierNew" w:hAnsi="Arial" w:cs="Arial"/>
                <w:sz w:val="20"/>
                <w:szCs w:val="20"/>
              </w:rPr>
              <w:t>8826553DF2</w:t>
            </w:r>
          </w:p>
          <w:p w14:paraId="552B51A1" w14:textId="77777777" w:rsidR="00DD4C02" w:rsidRPr="001F4F14" w:rsidRDefault="00DD4C02" w:rsidP="00CC00CA">
            <w:pPr>
              <w:rPr>
                <w:rFonts w:ascii="Arial" w:hAnsi="Arial" w:cs="Arial"/>
                <w:color w:val="000000"/>
              </w:rPr>
            </w:pP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w:t>
            </w:r>
            <w:r>
              <w:rPr>
                <w:rFonts w:ascii="Arial" w:hAnsi="Arial" w:cs="Arial"/>
                <w:sz w:val="20"/>
                <w:szCs w:val="20"/>
              </w:rPr>
              <w:lastRenderedPageBreak/>
              <w:t>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 xml:space="preserve">dimostrano la </w:t>
            </w:r>
            <w:r w:rsidRPr="00897274">
              <w:rPr>
                <w:rFonts w:ascii="Arial" w:hAnsi="Arial" w:cs="Arial"/>
                <w:sz w:val="20"/>
                <w:szCs w:val="20"/>
              </w:rPr>
              <w:lastRenderedPageBreak/>
              <w:t>completa ed effettiva dissociazione 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lastRenderedPageBreak/>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lastRenderedPageBreak/>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lastRenderedPageBreak/>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lastRenderedPageBreak/>
        <w:t>Parte IV: Criteri di selezione</w:t>
      </w:r>
    </w:p>
    <w:p w14:paraId="56692B86" w14:textId="7777777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4B858722" w14:textId="77777777" w:rsidR="00DD4C02" w:rsidRPr="00316AD1" w:rsidRDefault="00DD4C02"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77777777"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lastRenderedPageBreak/>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12</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28</cp:revision>
  <dcterms:created xsi:type="dcterms:W3CDTF">2017-06-20T09:41:00Z</dcterms:created>
  <dcterms:modified xsi:type="dcterms:W3CDTF">2021-07-22T13:12:00Z</dcterms:modified>
</cp:coreProperties>
</file>